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4D" w14:textId="77777777" w:rsidR="00351F4D" w:rsidRPr="006414B0" w:rsidRDefault="00351F4D" w:rsidP="0068521E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414B0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14:paraId="58B23DB9" w14:textId="77777777" w:rsidR="00351F4D" w:rsidRPr="006414B0" w:rsidRDefault="00B52ABE" w:rsidP="00C80F29">
      <w:pPr>
        <w:pStyle w:val="a3"/>
        <w:spacing w:line="240" w:lineRule="auto"/>
        <w:ind w:left="5670" w:right="0" w:firstLine="993"/>
        <w:jc w:val="both"/>
        <w:rPr>
          <w:sz w:val="24"/>
          <w:lang w:val="ru-RU"/>
        </w:rPr>
      </w:pPr>
      <w:r w:rsidRPr="006414B0">
        <w:rPr>
          <w:sz w:val="24"/>
          <w:lang w:val="ru-RU"/>
        </w:rPr>
        <w:t>Приказ Министерства</w:t>
      </w:r>
    </w:p>
    <w:p w14:paraId="48F6D5AC" w14:textId="77777777" w:rsidR="00351F4D" w:rsidRPr="006414B0" w:rsidRDefault="00C80F29" w:rsidP="009B236C">
      <w:pPr>
        <w:pStyle w:val="a3"/>
        <w:spacing w:line="240" w:lineRule="auto"/>
        <w:ind w:left="5664" w:right="0" w:firstLine="708"/>
        <w:jc w:val="both"/>
        <w:rPr>
          <w:sz w:val="24"/>
          <w:lang w:val="ru-RU"/>
        </w:rPr>
      </w:pPr>
      <w:r w:rsidRPr="00C80F29">
        <w:rPr>
          <w:noProof/>
          <w:sz w:val="24"/>
          <w:lang w:val="ru-RU"/>
        </w:rPr>
        <w:t xml:space="preserve">здравоохранения </w:t>
      </w:r>
      <w:r w:rsidR="001E33E9" w:rsidRPr="006414B0">
        <w:rPr>
          <w:sz w:val="24"/>
          <w:lang w:val="ru-RU"/>
        </w:rPr>
        <w:t>Украины</w:t>
      </w:r>
    </w:p>
    <w:p w14:paraId="406FFDCD" w14:textId="77777777" w:rsidR="00351F4D" w:rsidRPr="006414B0" w:rsidRDefault="0068521E" w:rsidP="009B236C">
      <w:pPr>
        <w:pStyle w:val="a3"/>
        <w:spacing w:line="240" w:lineRule="auto"/>
        <w:ind w:left="5664" w:right="0" w:firstLine="708"/>
        <w:jc w:val="both"/>
        <w:rPr>
          <w:sz w:val="24"/>
          <w:lang w:val="ru-RU"/>
        </w:rPr>
      </w:pPr>
      <w:r w:rsidRPr="006414B0">
        <w:rPr>
          <w:sz w:val="24"/>
          <w:lang w:val="ru-RU"/>
        </w:rPr>
        <w:tab/>
      </w:r>
      <w:r w:rsidR="007A0679" w:rsidRPr="006414B0">
        <w:rPr>
          <w:sz w:val="24"/>
          <w:lang w:val="ru-RU"/>
        </w:rPr>
        <w:t>23.01.2017 № 54</w:t>
      </w:r>
    </w:p>
    <w:p w14:paraId="236884E8" w14:textId="77777777" w:rsidR="00351F4D" w:rsidRPr="006414B0" w:rsidRDefault="00351F4D" w:rsidP="009B236C">
      <w:pPr>
        <w:spacing w:line="240" w:lineRule="auto"/>
        <w:ind w:left="5664" w:firstLine="708"/>
        <w:rPr>
          <w:sz w:val="24"/>
          <w:szCs w:val="24"/>
          <w:lang w:val="ru-RU"/>
        </w:rPr>
      </w:pPr>
      <w:r w:rsidRPr="006414B0">
        <w:rPr>
          <w:b/>
          <w:sz w:val="24"/>
          <w:szCs w:val="24"/>
          <w:lang w:val="ru-RU"/>
        </w:rPr>
        <w:t>Регистрационное удостоверение</w:t>
      </w:r>
    </w:p>
    <w:p w14:paraId="7BBF6D2D" w14:textId="77777777" w:rsidR="00351F4D" w:rsidRPr="006414B0" w:rsidRDefault="0068521E" w:rsidP="009B236C">
      <w:pPr>
        <w:pStyle w:val="FR1"/>
        <w:spacing w:before="0"/>
        <w:ind w:left="5664" w:firstLine="708"/>
        <w:jc w:val="both"/>
        <w:rPr>
          <w:rFonts w:ascii="Times New Roman" w:hAnsi="Times New Roman" w:cs="Times New Roman"/>
          <w:b/>
        </w:rPr>
      </w:pPr>
      <w:r w:rsidRPr="006414B0">
        <w:rPr>
          <w:rFonts w:ascii="Times New Roman" w:hAnsi="Times New Roman" w:cs="Times New Roman"/>
          <w:b/>
        </w:rPr>
        <w:tab/>
      </w:r>
      <w:r w:rsidR="007A0679" w:rsidRPr="006414B0">
        <w:rPr>
          <w:rFonts w:ascii="Times New Roman" w:hAnsi="Times New Roman" w:cs="Times New Roman"/>
          <w:b/>
        </w:rPr>
        <w:t>№ UA/11857/01/01</w:t>
      </w:r>
    </w:p>
    <w:p w14:paraId="79CC60B0" w14:textId="77777777" w:rsidR="00A40AAE" w:rsidRPr="006414B0" w:rsidRDefault="00A40AAE" w:rsidP="00A40AAE">
      <w:pPr>
        <w:pStyle w:val="FR1"/>
        <w:spacing w:before="0"/>
        <w:ind w:left="5664" w:firstLine="708"/>
        <w:jc w:val="both"/>
        <w:rPr>
          <w:rFonts w:ascii="Times New Roman" w:hAnsi="Times New Roman" w:cs="Times New Roman"/>
          <w:b/>
        </w:rPr>
      </w:pPr>
      <w:r w:rsidRPr="006414B0">
        <w:rPr>
          <w:rFonts w:ascii="Times New Roman" w:hAnsi="Times New Roman" w:cs="Times New Roman"/>
          <w:b/>
        </w:rPr>
        <w:tab/>
        <w:t xml:space="preserve"> UA/11857/01/02</w:t>
      </w:r>
    </w:p>
    <w:p w14:paraId="30A63E31" w14:textId="77777777" w:rsidR="00D01BE8" w:rsidRPr="006414B0" w:rsidRDefault="00D01BE8" w:rsidP="00A40AAE">
      <w:pPr>
        <w:pStyle w:val="FR1"/>
        <w:spacing w:before="0"/>
        <w:ind w:left="5664" w:firstLine="708"/>
        <w:jc w:val="both"/>
        <w:rPr>
          <w:rFonts w:ascii="Times New Roman" w:hAnsi="Times New Roman" w:cs="Times New Roman"/>
          <w:b/>
        </w:rPr>
      </w:pPr>
    </w:p>
    <w:p w14:paraId="74ACBA2F" w14:textId="77777777" w:rsidR="00D01BE8" w:rsidRPr="006414B0" w:rsidRDefault="00AE3852" w:rsidP="00D01BE8">
      <w:pPr>
        <w:keepNext/>
        <w:widowControl/>
        <w:autoSpaceDE/>
        <w:autoSpaceDN/>
        <w:adjustRightInd/>
        <w:spacing w:line="240" w:lineRule="auto"/>
        <w:ind w:left="5664"/>
        <w:jc w:val="center"/>
        <w:outlineLvl w:val="0"/>
        <w:rPr>
          <w:b/>
          <w:noProof/>
          <w:sz w:val="24"/>
          <w:szCs w:val="24"/>
          <w:lang w:val="ru-RU"/>
        </w:rPr>
      </w:pPr>
      <w:r w:rsidRPr="006414B0">
        <w:rPr>
          <w:b/>
          <w:sz w:val="24"/>
          <w:szCs w:val="20"/>
          <w:lang w:val="ru-RU"/>
        </w:rPr>
        <w:t xml:space="preserve"> ИЗМЕНЕНИЯ</w:t>
      </w:r>
      <w:r w:rsidR="00D01BE8" w:rsidRPr="006414B0">
        <w:rPr>
          <w:b/>
          <w:noProof/>
          <w:sz w:val="24"/>
          <w:szCs w:val="24"/>
          <w:lang w:val="ru-RU"/>
        </w:rPr>
        <w:t xml:space="preserve"> ВНЕСЕН</w:t>
      </w:r>
      <w:r w:rsidR="00C80F29">
        <w:rPr>
          <w:b/>
          <w:noProof/>
          <w:sz w:val="24"/>
          <w:szCs w:val="24"/>
          <w:lang w:val="ru-RU"/>
        </w:rPr>
        <w:t>О</w:t>
      </w:r>
    </w:p>
    <w:p w14:paraId="216F9BDB" w14:textId="77777777" w:rsidR="00D01BE8" w:rsidRPr="006414B0" w:rsidRDefault="00AE3852" w:rsidP="00D01BE8">
      <w:pPr>
        <w:spacing w:line="240" w:lineRule="auto"/>
        <w:ind w:left="5664"/>
        <w:jc w:val="center"/>
        <w:rPr>
          <w:b/>
          <w:noProof/>
          <w:sz w:val="24"/>
          <w:szCs w:val="24"/>
          <w:lang w:val="ru-RU"/>
        </w:rPr>
      </w:pPr>
      <w:r w:rsidRPr="006414B0">
        <w:rPr>
          <w:b/>
          <w:noProof/>
          <w:sz w:val="24"/>
          <w:szCs w:val="24"/>
          <w:lang w:val="ru-RU"/>
        </w:rPr>
        <w:t xml:space="preserve"> Приказ Министрства</w:t>
      </w:r>
    </w:p>
    <w:p w14:paraId="51BAE0EC" w14:textId="77777777" w:rsidR="00D01BE8" w:rsidRPr="006414B0" w:rsidRDefault="00AE3852" w:rsidP="00D01BE8">
      <w:pPr>
        <w:spacing w:line="240" w:lineRule="auto"/>
        <w:ind w:left="5664"/>
        <w:jc w:val="center"/>
        <w:rPr>
          <w:b/>
          <w:noProof/>
          <w:sz w:val="24"/>
          <w:szCs w:val="24"/>
          <w:lang w:val="ru-RU"/>
        </w:rPr>
      </w:pPr>
      <w:r w:rsidRPr="006414B0">
        <w:rPr>
          <w:b/>
          <w:noProof/>
          <w:sz w:val="24"/>
          <w:szCs w:val="24"/>
          <w:lang w:val="ru-RU"/>
        </w:rPr>
        <w:t xml:space="preserve"> </w:t>
      </w:r>
      <w:r w:rsidR="00C80F29" w:rsidRPr="006414B0">
        <w:rPr>
          <w:b/>
          <w:noProof/>
          <w:sz w:val="24"/>
          <w:szCs w:val="24"/>
          <w:lang w:val="ru-RU"/>
        </w:rPr>
        <w:t>зд</w:t>
      </w:r>
      <w:r w:rsidR="00C80F29">
        <w:rPr>
          <w:b/>
          <w:noProof/>
          <w:sz w:val="24"/>
          <w:szCs w:val="24"/>
          <w:lang w:val="ru-RU"/>
        </w:rPr>
        <w:t xml:space="preserve">равоохранения </w:t>
      </w:r>
      <w:r w:rsidRPr="006414B0">
        <w:rPr>
          <w:b/>
          <w:noProof/>
          <w:sz w:val="24"/>
          <w:szCs w:val="24"/>
          <w:lang w:val="ru-RU"/>
        </w:rPr>
        <w:t>Украины</w:t>
      </w:r>
    </w:p>
    <w:p w14:paraId="095398B3" w14:textId="77777777" w:rsidR="00D01BE8" w:rsidRPr="006414B0" w:rsidRDefault="00AE3852" w:rsidP="00D01BE8">
      <w:pPr>
        <w:adjustRightInd/>
        <w:spacing w:line="240" w:lineRule="auto"/>
        <w:ind w:left="5664" w:hanging="84"/>
        <w:jc w:val="center"/>
        <w:rPr>
          <w:b/>
          <w:noProof/>
          <w:sz w:val="24"/>
          <w:szCs w:val="24"/>
          <w:lang w:val="ru-RU"/>
        </w:rPr>
      </w:pPr>
      <w:r w:rsidRPr="006414B0">
        <w:rPr>
          <w:b/>
          <w:noProof/>
          <w:sz w:val="24"/>
          <w:szCs w:val="24"/>
          <w:lang w:val="ru-RU"/>
        </w:rPr>
        <w:t xml:space="preserve"> 20.10.2021 № 2272</w:t>
      </w:r>
    </w:p>
    <w:p w14:paraId="6715D222" w14:textId="77777777" w:rsidR="00351F4D" w:rsidRPr="006414B0" w:rsidRDefault="00351F4D" w:rsidP="009B236C">
      <w:pPr>
        <w:pStyle w:val="FR1"/>
        <w:spacing w:before="0"/>
        <w:ind w:left="0"/>
        <w:jc w:val="both"/>
        <w:rPr>
          <w:rFonts w:ascii="Times New Roman" w:hAnsi="Times New Roman" w:cs="Times New Roman"/>
          <w:noProof w:val="0"/>
        </w:rPr>
      </w:pPr>
    </w:p>
    <w:p w14:paraId="4B2B4AA7" w14:textId="77777777" w:rsidR="00351F4D" w:rsidRPr="006414B0" w:rsidRDefault="00351F4D" w:rsidP="001623BC">
      <w:pPr>
        <w:pStyle w:val="2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6414B0">
        <w:rPr>
          <w:rFonts w:ascii="Times New Roman" w:hAnsi="Times New Roman" w:cs="Times New Roman"/>
          <w:sz w:val="24"/>
          <w:szCs w:val="24"/>
          <w:lang w:val="ru-RU"/>
        </w:rPr>
        <w:t>ИНСТРУКЦИЯ</w:t>
      </w:r>
    </w:p>
    <w:p w14:paraId="56DBBC83" w14:textId="77777777" w:rsidR="00351F4D" w:rsidRPr="006414B0" w:rsidRDefault="006414B0" w:rsidP="001623BC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6414B0">
        <w:rPr>
          <w:b/>
          <w:sz w:val="24"/>
          <w:szCs w:val="24"/>
          <w:lang w:val="ru-RU"/>
        </w:rPr>
        <w:t>по медицинскому применению лекарственного средства</w:t>
      </w:r>
    </w:p>
    <w:p w14:paraId="46DBD13F" w14:textId="77777777" w:rsidR="002575DB" w:rsidRPr="006414B0" w:rsidRDefault="002575DB" w:rsidP="001623BC">
      <w:pPr>
        <w:spacing w:line="240" w:lineRule="auto"/>
        <w:jc w:val="center"/>
        <w:rPr>
          <w:b/>
          <w:i/>
          <w:sz w:val="24"/>
          <w:szCs w:val="24"/>
          <w:lang w:val="ru-RU"/>
        </w:rPr>
      </w:pPr>
    </w:p>
    <w:p w14:paraId="79F727B0" w14:textId="77777777" w:rsidR="00123D0A" w:rsidRPr="00DD1E1B" w:rsidRDefault="001623BC" w:rsidP="001623BC">
      <w:pPr>
        <w:spacing w:line="240" w:lineRule="auto"/>
        <w:ind w:left="3540"/>
        <w:jc w:val="left"/>
        <w:rPr>
          <w:b/>
          <w:sz w:val="24"/>
          <w:szCs w:val="24"/>
        </w:rPr>
      </w:pPr>
      <w:r w:rsidRPr="006414B0">
        <w:rPr>
          <w:b/>
          <w:sz w:val="24"/>
          <w:szCs w:val="24"/>
          <w:lang w:val="ru-RU"/>
        </w:rPr>
        <w:t xml:space="preserve"> ДИАФОРМИН</w:t>
      </w:r>
      <w:r w:rsidRPr="006414B0">
        <w:rPr>
          <w:b/>
          <w:sz w:val="24"/>
          <w:szCs w:val="24"/>
          <w:vertAlign w:val="superscript"/>
          <w:lang w:val="ru-RU"/>
        </w:rPr>
        <w:t>®</w:t>
      </w:r>
      <w:r w:rsidRPr="006414B0">
        <w:rPr>
          <w:b/>
          <w:sz w:val="24"/>
          <w:szCs w:val="24"/>
          <w:lang w:val="ru-RU"/>
        </w:rPr>
        <w:t xml:space="preserve"> SR</w:t>
      </w:r>
    </w:p>
    <w:p w14:paraId="19BA87EC" w14:textId="77777777" w:rsidR="00123D0A" w:rsidRPr="006414B0" w:rsidRDefault="001623BC" w:rsidP="001623BC">
      <w:pPr>
        <w:spacing w:line="240" w:lineRule="auto"/>
        <w:ind w:left="3540"/>
        <w:jc w:val="left"/>
        <w:rPr>
          <w:b/>
          <w:sz w:val="24"/>
          <w:szCs w:val="24"/>
          <w:lang w:val="ru-RU"/>
        </w:rPr>
      </w:pPr>
      <w:r w:rsidRPr="006414B0">
        <w:rPr>
          <w:b/>
          <w:sz w:val="24"/>
          <w:szCs w:val="24"/>
          <w:lang w:val="ru-RU"/>
        </w:rPr>
        <w:t xml:space="preserve"> (DIAFORMIN</w:t>
      </w:r>
      <w:r w:rsidRPr="006414B0">
        <w:rPr>
          <w:b/>
          <w:sz w:val="24"/>
          <w:szCs w:val="24"/>
          <w:vertAlign w:val="superscript"/>
          <w:lang w:val="ru-RU"/>
        </w:rPr>
        <w:t>®</w:t>
      </w:r>
      <w:r w:rsidRPr="006414B0">
        <w:rPr>
          <w:b/>
          <w:sz w:val="24"/>
          <w:szCs w:val="24"/>
          <w:lang w:val="ru-RU"/>
        </w:rPr>
        <w:t xml:space="preserve"> SR)</w:t>
      </w:r>
    </w:p>
    <w:p w14:paraId="23FD1B50" w14:textId="77777777" w:rsidR="009876CF" w:rsidRPr="009876CF" w:rsidRDefault="009876CF" w:rsidP="009876CF">
      <w:pPr>
        <w:widowControl/>
        <w:autoSpaceDE/>
        <w:autoSpaceDN/>
        <w:adjustRightInd/>
        <w:spacing w:line="240" w:lineRule="auto"/>
        <w:rPr>
          <w:b/>
          <w:bCs/>
          <w:i/>
          <w:sz w:val="24"/>
          <w:szCs w:val="24"/>
          <w:lang w:val="ru-RU"/>
        </w:rPr>
      </w:pPr>
      <w:r w:rsidRPr="009876CF">
        <w:rPr>
          <w:b/>
          <w:bCs/>
          <w:i/>
          <w:sz w:val="24"/>
          <w:szCs w:val="24"/>
          <w:lang w:val="ru-RU"/>
        </w:rPr>
        <w:t>Состав:</w:t>
      </w:r>
    </w:p>
    <w:p w14:paraId="400D96D7" w14:textId="77777777" w:rsidR="009876CF" w:rsidRPr="009876CF" w:rsidRDefault="009876CF" w:rsidP="009876CF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9876CF">
        <w:rPr>
          <w:i/>
          <w:sz w:val="24"/>
          <w:szCs w:val="24"/>
          <w:lang w:val="ru-RU"/>
        </w:rPr>
        <w:t>действующее вещество</w:t>
      </w:r>
      <w:r w:rsidRPr="009876CF">
        <w:rPr>
          <w:sz w:val="24"/>
          <w:szCs w:val="24"/>
          <w:lang w:val="ru-RU"/>
        </w:rPr>
        <w:t xml:space="preserve">: </w:t>
      </w:r>
      <w:proofErr w:type="spellStart"/>
      <w:r w:rsidRPr="009876CF">
        <w:rPr>
          <w:sz w:val="24"/>
          <w:szCs w:val="24"/>
          <w:lang w:val="ru-RU"/>
        </w:rPr>
        <w:t>мetformin</w:t>
      </w:r>
      <w:proofErr w:type="spellEnd"/>
      <w:r w:rsidRPr="009876CF">
        <w:rPr>
          <w:sz w:val="24"/>
          <w:szCs w:val="24"/>
          <w:lang w:val="ru-RU"/>
        </w:rPr>
        <w:t>;</w:t>
      </w:r>
    </w:p>
    <w:p w14:paraId="64609A95" w14:textId="77777777" w:rsidR="009876CF" w:rsidRPr="009876CF" w:rsidRDefault="009876CF" w:rsidP="009876CF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9876CF">
        <w:rPr>
          <w:sz w:val="24"/>
          <w:szCs w:val="24"/>
          <w:lang w:val="ru-RU"/>
        </w:rPr>
        <w:t>1 таблетка содержит метформина гидрохлорида 500 мг или 1000 мг;</w:t>
      </w:r>
    </w:p>
    <w:p w14:paraId="69173638" w14:textId="77777777" w:rsidR="009876CF" w:rsidRPr="009876CF" w:rsidRDefault="009876CF" w:rsidP="009876CF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9876CF">
        <w:rPr>
          <w:i/>
          <w:sz w:val="24"/>
          <w:szCs w:val="24"/>
          <w:lang w:val="ru-RU"/>
        </w:rPr>
        <w:t>вспомогательные вещества</w:t>
      </w:r>
      <w:r w:rsidRPr="009876CF">
        <w:rPr>
          <w:sz w:val="24"/>
          <w:szCs w:val="24"/>
          <w:lang w:val="ru-RU"/>
        </w:rPr>
        <w:t>: кислота стеариновая, шеллак, повидон (К-30), кремния диоксид коллоидный безводный, магния стеарат;</w:t>
      </w:r>
    </w:p>
    <w:p w14:paraId="3A87F85B" w14:textId="77777777" w:rsidR="009876CF" w:rsidRPr="009876CF" w:rsidRDefault="009876CF" w:rsidP="009876CF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9876CF">
        <w:rPr>
          <w:sz w:val="24"/>
          <w:szCs w:val="24"/>
          <w:lang w:val="ru-RU"/>
        </w:rPr>
        <w:t>состав плёночной оболочки: гипромеллоза, гидроксипропилцеллюлоза, титана диоксид (Е 171), пропиленгликоль, макрогол 6000, тальк.</w:t>
      </w:r>
    </w:p>
    <w:p w14:paraId="0D4F981F" w14:textId="77777777" w:rsidR="009876CF" w:rsidRPr="009876CF" w:rsidRDefault="009876CF" w:rsidP="009876CF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</w:p>
    <w:p w14:paraId="418BA7AA" w14:textId="77777777" w:rsidR="009876CF" w:rsidRPr="009876CF" w:rsidRDefault="009876CF" w:rsidP="009876CF">
      <w:pPr>
        <w:widowControl/>
        <w:autoSpaceDE/>
        <w:autoSpaceDN/>
        <w:adjustRightInd/>
        <w:spacing w:line="240" w:lineRule="auto"/>
        <w:rPr>
          <w:bCs/>
          <w:sz w:val="24"/>
          <w:szCs w:val="24"/>
          <w:lang w:val="ru-RU"/>
        </w:rPr>
      </w:pPr>
      <w:r w:rsidRPr="009876CF">
        <w:rPr>
          <w:b/>
          <w:bCs/>
          <w:sz w:val="24"/>
          <w:szCs w:val="24"/>
          <w:lang w:val="ru-RU"/>
        </w:rPr>
        <w:t>Лекарственная форма</w:t>
      </w:r>
      <w:r w:rsidRPr="009876CF">
        <w:rPr>
          <w:b/>
          <w:bCs/>
          <w:i/>
          <w:sz w:val="24"/>
          <w:szCs w:val="24"/>
          <w:lang w:val="ru-RU"/>
        </w:rPr>
        <w:t xml:space="preserve">. </w:t>
      </w:r>
      <w:r w:rsidRPr="009876CF">
        <w:rPr>
          <w:sz w:val="24"/>
          <w:szCs w:val="24"/>
          <w:lang w:val="ru-RU"/>
        </w:rPr>
        <w:t>Таблетки пролонгированного действия.</w:t>
      </w:r>
    </w:p>
    <w:p w14:paraId="25AC0CC3" w14:textId="77777777" w:rsidR="009876CF" w:rsidRPr="009876CF" w:rsidRDefault="009876CF" w:rsidP="009876CF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9876CF">
        <w:rPr>
          <w:i/>
          <w:sz w:val="24"/>
          <w:szCs w:val="24"/>
          <w:lang w:val="ru-RU"/>
        </w:rPr>
        <w:t xml:space="preserve">Основные физико-химические свойства: </w:t>
      </w:r>
      <w:r w:rsidRPr="009876CF">
        <w:rPr>
          <w:sz w:val="24"/>
          <w:szCs w:val="24"/>
          <w:lang w:val="ru-RU"/>
        </w:rPr>
        <w:t>таблетки пролонгированного действия по 500 мг: таблетки овальной формы с двояковыпуклой поверхностью, покрытые плёночной оболочкой, почти белого цвета, гладкие с обеих сторон;</w:t>
      </w:r>
    </w:p>
    <w:p w14:paraId="54724CCF" w14:textId="77777777" w:rsidR="00EE425F" w:rsidRPr="009876CF" w:rsidRDefault="009876CF" w:rsidP="009876CF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9876CF">
        <w:rPr>
          <w:sz w:val="24"/>
          <w:szCs w:val="24"/>
          <w:lang w:val="ru-RU"/>
        </w:rPr>
        <w:t>таблетки пролонгированного действия по 1000 мг: таблетки овальной формы с двояковыпуклой поверхностью, покрытые плёночной оболочкой, почти белого цвета, с риской с одной стороны и гладкие с другой стороны</w:t>
      </w:r>
      <w:r w:rsidR="00EE425F" w:rsidRPr="009876CF">
        <w:rPr>
          <w:color w:val="000000"/>
          <w:sz w:val="24"/>
          <w:szCs w:val="24"/>
          <w:lang w:val="ru-RU"/>
        </w:rPr>
        <w:t>.</w:t>
      </w:r>
    </w:p>
    <w:p w14:paraId="3FF99557" w14:textId="77777777" w:rsidR="00206B67" w:rsidRPr="009876CF" w:rsidRDefault="00206B67" w:rsidP="009B236C">
      <w:pPr>
        <w:widowControl/>
        <w:spacing w:line="240" w:lineRule="auto"/>
        <w:rPr>
          <w:sz w:val="24"/>
          <w:szCs w:val="24"/>
          <w:lang w:val="ru-RU"/>
        </w:rPr>
      </w:pPr>
    </w:p>
    <w:p w14:paraId="64E2F2E9" w14:textId="77777777" w:rsidR="00ED7290" w:rsidRPr="006414B0" w:rsidRDefault="00351F4D" w:rsidP="009B236C">
      <w:pPr>
        <w:spacing w:line="240" w:lineRule="auto"/>
        <w:rPr>
          <w:sz w:val="24"/>
          <w:szCs w:val="24"/>
          <w:lang w:val="ru-RU" w:eastAsia="uk-UA"/>
        </w:rPr>
      </w:pPr>
      <w:r w:rsidRPr="006414B0">
        <w:rPr>
          <w:b/>
          <w:sz w:val="24"/>
          <w:szCs w:val="24"/>
          <w:lang w:val="ru-RU"/>
        </w:rPr>
        <w:t>Фармакотерапевтическая группа.</w:t>
      </w:r>
      <w:r w:rsidR="009876CF">
        <w:rPr>
          <w:b/>
          <w:sz w:val="24"/>
          <w:szCs w:val="24"/>
          <w:lang w:val="ru-RU"/>
        </w:rPr>
        <w:t xml:space="preserve"> </w:t>
      </w:r>
      <w:r w:rsidRPr="006414B0">
        <w:rPr>
          <w:sz w:val="24"/>
          <w:szCs w:val="24"/>
          <w:lang w:val="ru-RU"/>
        </w:rPr>
        <w:t>Пероральные гипогликемические средства, за исключением инсулинов. Бигуаниды. Код АТХ А10В А02.</w:t>
      </w:r>
      <w:r w:rsidR="00ED7290" w:rsidRPr="006414B0">
        <w:rPr>
          <w:sz w:val="24"/>
          <w:szCs w:val="24"/>
          <w:lang w:val="ru-RU" w:eastAsia="uk-UA"/>
        </w:rPr>
        <w:tab/>
      </w:r>
    </w:p>
    <w:p w14:paraId="718DB958" w14:textId="77777777" w:rsidR="00FC361C" w:rsidRPr="006414B0" w:rsidRDefault="00FC361C" w:rsidP="009B236C">
      <w:pPr>
        <w:suppressAutoHyphens/>
        <w:spacing w:line="240" w:lineRule="auto"/>
        <w:rPr>
          <w:b/>
          <w:i/>
          <w:sz w:val="24"/>
          <w:szCs w:val="24"/>
          <w:lang w:val="ru-RU" w:eastAsia="uk-UA"/>
        </w:rPr>
      </w:pPr>
    </w:p>
    <w:p w14:paraId="650C69F7" w14:textId="77777777" w:rsidR="00E85299" w:rsidRPr="006414B0" w:rsidRDefault="00E85299" w:rsidP="009B236C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 w:eastAsia="uk-UA"/>
        </w:rPr>
      </w:pPr>
      <w:r w:rsidRPr="006414B0">
        <w:rPr>
          <w:b/>
          <w:i/>
          <w:sz w:val="24"/>
          <w:szCs w:val="24"/>
          <w:lang w:val="ru-RU" w:eastAsia="uk-UA"/>
        </w:rPr>
        <w:t>Фармакологические свойства.</w:t>
      </w:r>
    </w:p>
    <w:p w14:paraId="284A1275" w14:textId="77777777" w:rsidR="009876CF" w:rsidRPr="009876CF" w:rsidRDefault="009876CF" w:rsidP="009876CF">
      <w:pPr>
        <w:spacing w:line="240" w:lineRule="auto"/>
        <w:rPr>
          <w:i/>
          <w:iCs/>
          <w:sz w:val="24"/>
          <w:szCs w:val="24"/>
          <w:lang w:val="ru-RU"/>
        </w:rPr>
      </w:pPr>
      <w:r w:rsidRPr="009876CF">
        <w:rPr>
          <w:i/>
          <w:iCs/>
          <w:sz w:val="24"/>
          <w:szCs w:val="24"/>
          <w:lang w:val="ru-RU"/>
        </w:rPr>
        <w:t xml:space="preserve">Фармакодинамика. </w:t>
      </w:r>
    </w:p>
    <w:p w14:paraId="3CB2D14B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>Метформин — бигуанид с антигипергликемическим эффектом. Снижает уровень глюкозы в плазме крови как натощак, так и после приема пищи. Не стимулирует секрецию инсулина и не вызывает гипогликемического эффекта, опосредованного этим механизмом.</w:t>
      </w:r>
    </w:p>
    <w:p w14:paraId="33140C54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>Метформин действует тремя способами:</w:t>
      </w:r>
    </w:p>
    <w:p w14:paraId="2329C371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>- приводит к снижению продуцирования глюкозы в печени за счет ингибирования глюконеогенеза и гликогенолиза;</w:t>
      </w:r>
    </w:p>
    <w:p w14:paraId="143B8020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>- улучшает чувствительность к инсулину в мышцах, что приводит к улучшению периферического захвата и утилизации глюкозы</w:t>
      </w:r>
    </w:p>
    <w:p w14:paraId="49AEF655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 xml:space="preserve">- задерживает всасывание глюкозы в кишечнике. </w:t>
      </w:r>
    </w:p>
    <w:p w14:paraId="582D093F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>Метформина гидрохлорид стимулирует внутриклеточный синтез гликогена, воздействуя на гликогенсинтетазу. Увеличивает транспортную способность всех известных типов мембранных переносчиков глюкозы (GLUT).</w:t>
      </w:r>
    </w:p>
    <w:p w14:paraId="52C8A514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u w:val="single"/>
          <w:lang w:val="ru-RU"/>
        </w:rPr>
      </w:pPr>
      <w:r w:rsidRPr="009876CF">
        <w:rPr>
          <w:iCs/>
          <w:sz w:val="24"/>
          <w:szCs w:val="24"/>
          <w:u w:val="single"/>
          <w:lang w:val="ru-RU"/>
        </w:rPr>
        <w:t>Фармакодинамические эффекты.</w:t>
      </w:r>
    </w:p>
    <w:p w14:paraId="7671DF62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 xml:space="preserve">Клинические исследования показали, что основным </w:t>
      </w:r>
      <w:r>
        <w:rPr>
          <w:iCs/>
          <w:sz w:val="24"/>
          <w:szCs w:val="24"/>
          <w:lang w:val="ru-RU"/>
        </w:rPr>
        <w:t xml:space="preserve">не гликемическим эффектом </w:t>
      </w:r>
      <w:r w:rsidR="0069739F">
        <w:rPr>
          <w:iCs/>
          <w:sz w:val="24"/>
          <w:szCs w:val="24"/>
          <w:lang w:val="ru-RU"/>
        </w:rPr>
        <w:t xml:space="preserve">метформина </w:t>
      </w:r>
      <w:r w:rsidRPr="009876CF">
        <w:rPr>
          <w:iCs/>
          <w:sz w:val="24"/>
          <w:szCs w:val="24"/>
          <w:lang w:val="ru-RU"/>
        </w:rPr>
        <w:t>является стабилизация или незначительное уменьшение массы тела.</w:t>
      </w:r>
    </w:p>
    <w:p w14:paraId="09939AC1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 xml:space="preserve">Независимо от своего действия на уровень глюкозы в крови, таблетки метформина с немедленным высвобождением проявляют положительный эффект на метаболизм липидов. Этот эффект был доказан при применении терапевтических дозировок в контролируемых средне- или долгосрочных </w:t>
      </w:r>
      <w:r w:rsidRPr="009876CF">
        <w:rPr>
          <w:iCs/>
          <w:sz w:val="24"/>
          <w:szCs w:val="24"/>
          <w:lang w:val="ru-RU"/>
        </w:rPr>
        <w:lastRenderedPageBreak/>
        <w:t>клинических исследованиях: таблетки метформина с немедленным высвобождением снижают содержание общего холестерина, липопротеинов низкой плотности и триглицеридов. Подобный эффект не наблюдался при применении таблеток пролонгированного действия, вероятно, в связи с применением препарата вечером</w:t>
      </w:r>
      <w:r>
        <w:rPr>
          <w:iCs/>
          <w:sz w:val="24"/>
          <w:szCs w:val="24"/>
          <w:lang w:val="ru-RU"/>
        </w:rPr>
        <w:t>, и</w:t>
      </w:r>
      <w:r w:rsidRPr="009876CF">
        <w:rPr>
          <w:iCs/>
          <w:sz w:val="24"/>
          <w:szCs w:val="24"/>
          <w:lang w:val="ru-RU"/>
        </w:rPr>
        <w:t>з-за этого может наблюдаться повышение содержания триглицеридов.</w:t>
      </w:r>
    </w:p>
    <w:p w14:paraId="7EA4A42B" w14:textId="77777777" w:rsidR="009876CF" w:rsidRPr="009876CF" w:rsidRDefault="009876CF" w:rsidP="009876CF">
      <w:pPr>
        <w:spacing w:line="240" w:lineRule="auto"/>
        <w:rPr>
          <w:i/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u w:val="single"/>
          <w:lang w:val="ru-RU"/>
        </w:rPr>
        <w:t>Клиническая эффективность</w:t>
      </w:r>
      <w:r w:rsidRPr="009876CF">
        <w:rPr>
          <w:i/>
          <w:iCs/>
          <w:sz w:val="24"/>
          <w:szCs w:val="24"/>
          <w:lang w:val="ru-RU"/>
        </w:rPr>
        <w:t>.</w:t>
      </w:r>
    </w:p>
    <w:p w14:paraId="0D3AFF75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u w:val="single"/>
          <w:lang w:val="ru-RU"/>
        </w:rPr>
      </w:pPr>
      <w:r w:rsidRPr="009876CF">
        <w:rPr>
          <w:iCs/>
          <w:sz w:val="24"/>
          <w:szCs w:val="24"/>
          <w:u w:val="single"/>
          <w:lang w:val="ru-RU"/>
        </w:rPr>
        <w:t>Снижение риска или задержка начала сахарного диабета 2 типа.</w:t>
      </w:r>
    </w:p>
    <w:p w14:paraId="2B66EC78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>Программа профилактики сахарного диабета (DPP) у взрослых была многоцентровым рандомизированным контролируемым клиническим исследованием, в котором оценивали эффективность внедрения активного образа жизни или применения метформина для предупреждения или задержки развития сахарного диабета 2-го типа. Критериями включения были возраст ≥25 лет, индекс массы тела (ИМТ) ≥24 кг/м</w:t>
      </w:r>
      <w:r w:rsidRPr="00B265C8">
        <w:rPr>
          <w:iCs/>
          <w:sz w:val="24"/>
          <w:szCs w:val="24"/>
          <w:vertAlign w:val="superscript"/>
          <w:lang w:val="ru-RU"/>
        </w:rPr>
        <w:t>2</w:t>
      </w:r>
      <w:r w:rsidRPr="009876CF">
        <w:rPr>
          <w:iCs/>
          <w:sz w:val="24"/>
          <w:szCs w:val="24"/>
          <w:lang w:val="ru-RU"/>
        </w:rPr>
        <w:t xml:space="preserve"> (≥22 кг/м</w:t>
      </w:r>
      <w:r w:rsidRPr="009876CF">
        <w:rPr>
          <w:iCs/>
          <w:sz w:val="24"/>
          <w:szCs w:val="24"/>
          <w:vertAlign w:val="superscript"/>
          <w:lang w:val="ru-RU"/>
        </w:rPr>
        <w:t>2</w:t>
      </w:r>
      <w:r w:rsidRPr="009876CF">
        <w:rPr>
          <w:iCs/>
          <w:sz w:val="24"/>
          <w:szCs w:val="24"/>
          <w:lang w:val="ru-RU"/>
        </w:rPr>
        <w:t xml:space="preserve"> для американцев азиатского происхождения) и нарушение толерантности к глюкозе (НТГ) плюс уровень глюкозы натощак 95–125 мг/</w:t>
      </w:r>
      <w:proofErr w:type="spellStart"/>
      <w:r w:rsidRPr="009876CF">
        <w:rPr>
          <w:iCs/>
          <w:sz w:val="24"/>
          <w:szCs w:val="24"/>
          <w:lang w:val="ru-RU"/>
        </w:rPr>
        <w:t>дл</w:t>
      </w:r>
      <w:proofErr w:type="spellEnd"/>
      <w:r w:rsidRPr="009876CF">
        <w:rPr>
          <w:iCs/>
          <w:sz w:val="24"/>
          <w:szCs w:val="24"/>
          <w:lang w:val="ru-RU"/>
        </w:rPr>
        <w:t xml:space="preserve"> (или ≤125 мг/</w:t>
      </w:r>
      <w:proofErr w:type="spellStart"/>
      <w:r w:rsidRPr="009876CF">
        <w:rPr>
          <w:iCs/>
          <w:sz w:val="24"/>
          <w:szCs w:val="24"/>
          <w:lang w:val="ru-RU"/>
        </w:rPr>
        <w:t>дл</w:t>
      </w:r>
      <w:proofErr w:type="spellEnd"/>
      <w:r w:rsidRPr="009876CF">
        <w:rPr>
          <w:iCs/>
          <w:sz w:val="24"/>
          <w:szCs w:val="24"/>
          <w:lang w:val="ru-RU"/>
        </w:rPr>
        <w:t xml:space="preserve"> для американских индейцев). Пациентам был назначен активный образ жизни, 850 мг метформина 2 раза в сутки плюс стандартные изменения образа жизни, или плацебо плюс стандартные изменения образа жизни.</w:t>
      </w:r>
    </w:p>
    <w:p w14:paraId="268A7D94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>Средние исходные значения для участников DPP (n=3,234 для 2,8 года) были следующими: возраст 50,6 ± 10,7 года, уровень глюкозы в плазме крови натощак 106,5 ± 8,3 мг/</w:t>
      </w:r>
      <w:proofErr w:type="spellStart"/>
      <w:r w:rsidRPr="009876CF">
        <w:rPr>
          <w:iCs/>
          <w:sz w:val="24"/>
          <w:szCs w:val="24"/>
          <w:lang w:val="ru-RU"/>
        </w:rPr>
        <w:t>дл</w:t>
      </w:r>
      <w:proofErr w:type="spellEnd"/>
      <w:r w:rsidRPr="009876CF">
        <w:rPr>
          <w:iCs/>
          <w:sz w:val="24"/>
          <w:szCs w:val="24"/>
          <w:lang w:val="ru-RU"/>
        </w:rPr>
        <w:t>, уровень глюкозы в плазме крови через 2 ч после приема глюкозы в дозе 164,6 ± 7,0 мг/</w:t>
      </w:r>
      <w:proofErr w:type="spellStart"/>
      <w:r w:rsidRPr="009876CF">
        <w:rPr>
          <w:iCs/>
          <w:sz w:val="24"/>
          <w:szCs w:val="24"/>
          <w:lang w:val="ru-RU"/>
        </w:rPr>
        <w:t>дл</w:t>
      </w:r>
      <w:proofErr w:type="spellEnd"/>
      <w:r w:rsidRPr="009876CF">
        <w:rPr>
          <w:iCs/>
          <w:sz w:val="24"/>
          <w:szCs w:val="24"/>
          <w:lang w:val="ru-RU"/>
        </w:rPr>
        <w:t xml:space="preserve"> и ИМТ 34,0 ± 6,7 кг/м</w:t>
      </w:r>
      <w:r w:rsidRPr="00B265C8">
        <w:rPr>
          <w:iCs/>
          <w:sz w:val="24"/>
          <w:szCs w:val="24"/>
          <w:vertAlign w:val="superscript"/>
          <w:lang w:val="ru-RU"/>
        </w:rPr>
        <w:t>2</w:t>
      </w:r>
      <w:r w:rsidRPr="009876CF">
        <w:rPr>
          <w:iCs/>
          <w:sz w:val="24"/>
          <w:szCs w:val="24"/>
          <w:lang w:val="ru-RU"/>
        </w:rPr>
        <w:t>. Внедрение активного образа жизни совместно с применением метформина способно значительно снизить риск развития сахарного диабета по сравнению с плацебо: 58 % (95 % ДИ 48–66 %) и 31 % (95 % ДИ 17–43 %) соответственно.</w:t>
      </w:r>
    </w:p>
    <w:p w14:paraId="2A006345" w14:textId="77777777" w:rsidR="009876CF" w:rsidRPr="009876CF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Cs/>
          <w:sz w:val="24"/>
          <w:szCs w:val="24"/>
          <w:lang w:val="ru-RU"/>
        </w:rPr>
        <w:t>Преимущество внедрения изменения образа жизни в сравнении с применением метформина было выше у пациентов пожилого возраста</w:t>
      </w:r>
    </w:p>
    <w:p w14:paraId="6BED1300" w14:textId="77777777" w:rsidR="009876CF" w:rsidRPr="009876CF" w:rsidRDefault="00B265C8" w:rsidP="009876CF">
      <w:pPr>
        <w:spacing w:line="240" w:lineRule="auto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Пациенты, которые получили н</w:t>
      </w:r>
      <w:r w:rsidR="009876CF" w:rsidRPr="009876CF">
        <w:rPr>
          <w:iCs/>
          <w:sz w:val="24"/>
          <w:szCs w:val="24"/>
          <w:lang w:val="ru-RU"/>
        </w:rPr>
        <w:t>аибольшую пользу от лечения метформином</w:t>
      </w:r>
      <w:r>
        <w:rPr>
          <w:iCs/>
          <w:sz w:val="24"/>
          <w:szCs w:val="24"/>
          <w:lang w:val="ru-RU"/>
        </w:rPr>
        <w:t>,</w:t>
      </w:r>
      <w:r w:rsidR="009876CF" w:rsidRPr="009876CF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были</w:t>
      </w:r>
      <w:r w:rsidR="009876CF" w:rsidRPr="009876CF">
        <w:rPr>
          <w:iCs/>
          <w:sz w:val="24"/>
          <w:szCs w:val="24"/>
          <w:lang w:val="ru-RU"/>
        </w:rPr>
        <w:t xml:space="preserve"> в возрасте от 45 лет с ИМТ ≥35 кг/м</w:t>
      </w:r>
      <w:r w:rsidR="009876CF" w:rsidRPr="00B265C8">
        <w:rPr>
          <w:iCs/>
          <w:sz w:val="24"/>
          <w:szCs w:val="24"/>
          <w:vertAlign w:val="superscript"/>
          <w:lang w:val="ru-RU"/>
        </w:rPr>
        <w:t>2</w:t>
      </w:r>
      <w:r w:rsidR="009876CF" w:rsidRPr="009876CF">
        <w:rPr>
          <w:iCs/>
          <w:sz w:val="24"/>
          <w:szCs w:val="24"/>
          <w:lang w:val="ru-RU"/>
        </w:rPr>
        <w:t xml:space="preserve">, у которых базовый уровень глюкозы через 2 ч составлял 9,6–11,0 ммоль/л, базовый уровень HbA1с — ≥6,0%, или пациенты с гестационным сахарным диабетом. Для предотвращения развития сахарного диабета в течение 3 лет </w:t>
      </w:r>
      <w:r>
        <w:rPr>
          <w:iCs/>
          <w:sz w:val="24"/>
          <w:szCs w:val="24"/>
          <w:lang w:val="ru-RU"/>
        </w:rPr>
        <w:t xml:space="preserve">из </w:t>
      </w:r>
      <w:r w:rsidR="009876CF" w:rsidRPr="009876CF">
        <w:rPr>
          <w:iCs/>
          <w:sz w:val="24"/>
          <w:szCs w:val="24"/>
          <w:lang w:val="ru-RU"/>
        </w:rPr>
        <w:t>участников DPP</w:t>
      </w:r>
      <w:r>
        <w:rPr>
          <w:iCs/>
          <w:sz w:val="24"/>
          <w:szCs w:val="24"/>
          <w:lang w:val="ru-RU"/>
        </w:rPr>
        <w:t xml:space="preserve"> -</w:t>
      </w:r>
      <w:r w:rsidR="009876CF" w:rsidRPr="009876CF">
        <w:rPr>
          <w:iCs/>
          <w:sz w:val="24"/>
          <w:szCs w:val="24"/>
          <w:lang w:val="ru-RU"/>
        </w:rPr>
        <w:t xml:space="preserve"> 6,9 </w:t>
      </w:r>
      <w:r>
        <w:rPr>
          <w:iCs/>
          <w:sz w:val="24"/>
          <w:szCs w:val="24"/>
          <w:lang w:val="ru-RU"/>
        </w:rPr>
        <w:t xml:space="preserve">пациента </w:t>
      </w:r>
      <w:r w:rsidR="009876CF" w:rsidRPr="009876CF">
        <w:rPr>
          <w:iCs/>
          <w:sz w:val="24"/>
          <w:szCs w:val="24"/>
          <w:lang w:val="ru-RU"/>
        </w:rPr>
        <w:t>были в группе активного образа жизни и 13,9 — в группе терапии метформином. Точка достижения кумулятивной частоты возникновения сахарного диабета, равной 50%, была задержана примерно на 3 года в группе терапии метформином по сравнению с плацебо.</w:t>
      </w:r>
    </w:p>
    <w:p w14:paraId="00FEC50A" w14:textId="77777777" w:rsidR="009876CF" w:rsidRPr="00B265C8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u w:val="single"/>
          <w:lang w:val="ru-RU"/>
        </w:rPr>
        <w:t xml:space="preserve">Исследование оценки результатов программы профилактики сахарного диабета </w:t>
      </w:r>
      <w:r w:rsidRPr="00B265C8">
        <w:rPr>
          <w:iCs/>
          <w:sz w:val="24"/>
          <w:szCs w:val="24"/>
          <w:lang w:val="ru-RU"/>
        </w:rPr>
        <w:t xml:space="preserve">(DPPOS) — это долгосрочное наблюдение DPP, включающее более 87% </w:t>
      </w:r>
      <w:r w:rsidR="00B265C8">
        <w:rPr>
          <w:iCs/>
          <w:sz w:val="24"/>
          <w:szCs w:val="24"/>
          <w:lang w:val="ru-RU"/>
        </w:rPr>
        <w:t>начальных</w:t>
      </w:r>
      <w:r w:rsidRPr="00B265C8">
        <w:rPr>
          <w:iCs/>
          <w:sz w:val="24"/>
          <w:szCs w:val="24"/>
          <w:lang w:val="ru-RU"/>
        </w:rPr>
        <w:t xml:space="preserve"> DPP </w:t>
      </w:r>
      <w:r w:rsidR="00B265C8">
        <w:rPr>
          <w:iCs/>
          <w:sz w:val="24"/>
          <w:szCs w:val="24"/>
          <w:lang w:val="ru-RU"/>
        </w:rPr>
        <w:t xml:space="preserve">пациентов </w:t>
      </w:r>
      <w:r w:rsidRPr="00B265C8">
        <w:rPr>
          <w:iCs/>
          <w:sz w:val="24"/>
          <w:szCs w:val="24"/>
          <w:lang w:val="ru-RU"/>
        </w:rPr>
        <w:t>для дальнейшего длительного наблюдения.</w:t>
      </w:r>
    </w:p>
    <w:p w14:paraId="48D9C29C" w14:textId="77777777" w:rsidR="009876CF" w:rsidRPr="00B265C8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 xml:space="preserve">Среди участников DPPOS (n=2776) кумулятивная частота возникновения сахарного диабета на 15-й год составляет 62 % в группе плацебо, 56 % в группе метформина и 55 % в группе внедрения активного образа жизни. Общие коэффициенты составляют 7,0; 5,7 и 5,2 случаев сахарного диабета на 100 пациенто-лет среди групп плацебо, метформина и активного образа жизни соответственно. По сравнению с группой плацебо в группе метформина риск развития сахарного диабета был снижен на 18% (коэффициент риска (КР) 0,82; 95 % ДИ 0,72–0,93; р=0,001) и на 27% (КР 0,73; 95 % ДИ 0,65–0,83; p &lt; 0,0001) в группе активного образа жизни. По совокупной микроциркуляторной конечной точке нефропатии, ретинопатии и нейропатии результаты значительно не отличались между группами, но для участников, у которых не развился сахарный диабет в течение DPP/DPPOS, распространенность микрососудистых осложнений была на 28 % ниже, чем у тех, у кого возникла эта патология (КР 0,72; 95 % ДИ 0,63–0,83; р &lt; 0,0001). Нет никаких сравнительных данных о влиянии метформина на макрососудистые осложнения у пациентов с НТГ и/или </w:t>
      </w:r>
      <w:r w:rsidR="00B265C8">
        <w:rPr>
          <w:iCs/>
          <w:sz w:val="24"/>
          <w:szCs w:val="24"/>
          <w:lang w:val="ru-RU"/>
        </w:rPr>
        <w:t>НГН</w:t>
      </w:r>
      <w:r w:rsidRPr="00B265C8">
        <w:rPr>
          <w:iCs/>
          <w:sz w:val="24"/>
          <w:szCs w:val="24"/>
          <w:lang w:val="ru-RU"/>
        </w:rPr>
        <w:t xml:space="preserve"> и/или повышенным уровнем HbA1c.</w:t>
      </w:r>
    </w:p>
    <w:p w14:paraId="650BBA6E" w14:textId="77777777" w:rsidR="009876CF" w:rsidRPr="00B265C8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>Факторы риска диабета 2 типа, о которых известно из публикаций, включают принадлежность к монголоидной или негроидной расе, возраст старше 40 лет, дислипидемию, АГ, ожирение или избыточную массу тела, возраст, семейный анамнез (1-я ступень семейного родства с больным сахарным диабетом, гестационный сахарный диабет в анамнезе и синдром поликистозных яичников (СПКЯ).</w:t>
      </w:r>
    </w:p>
    <w:p w14:paraId="0DFBF883" w14:textId="77777777" w:rsidR="009876CF" w:rsidRPr="00B265C8" w:rsidRDefault="009876CF" w:rsidP="009876CF">
      <w:pPr>
        <w:spacing w:line="240" w:lineRule="auto"/>
        <w:rPr>
          <w:iCs/>
          <w:sz w:val="24"/>
          <w:szCs w:val="24"/>
          <w:u w:val="single"/>
          <w:lang w:val="ru-RU"/>
        </w:rPr>
      </w:pPr>
      <w:r w:rsidRPr="00B265C8">
        <w:rPr>
          <w:iCs/>
          <w:sz w:val="24"/>
          <w:szCs w:val="24"/>
          <w:u w:val="single"/>
          <w:lang w:val="ru-RU"/>
        </w:rPr>
        <w:t>Лечение сахарного диабета 2 типа.</w:t>
      </w:r>
    </w:p>
    <w:p w14:paraId="1679784F" w14:textId="77777777" w:rsidR="009876CF" w:rsidRPr="00B265C8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 xml:space="preserve">Проспективное рандомизированное (UKPDS) исследование установило предпочтение углубленного контроля уровня глюкозы в крови у больных сахарным диабетом 2 типа с избыточной массой тела, получавших метформин гидрохлорид немедленного высвобождения как терапию первой линии после того, как диета оказалась недейственной. Анализ результатов исследования </w:t>
      </w:r>
      <w:r w:rsidRPr="00B265C8">
        <w:rPr>
          <w:iCs/>
          <w:sz w:val="24"/>
          <w:szCs w:val="24"/>
          <w:lang w:val="ru-RU"/>
        </w:rPr>
        <w:lastRenderedPageBreak/>
        <w:t>показал:</w:t>
      </w:r>
    </w:p>
    <w:p w14:paraId="4D092373" w14:textId="77777777" w:rsidR="009876CF" w:rsidRPr="00B265C8" w:rsidRDefault="009876CF" w:rsidP="00B265C8">
      <w:pPr>
        <w:pStyle w:val="af4"/>
        <w:numPr>
          <w:ilvl w:val="0"/>
          <w:numId w:val="25"/>
        </w:numPr>
        <w:spacing w:line="240" w:lineRule="auto"/>
        <w:ind w:left="426" w:hanging="426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>значительное снижение абсолютного риска любого осложнения, связанного с сахарным диабетом, в группе метформина гидрохлорида (29,8 случая/1000 пациенто-лет) по сравнению с группой пациентов на диете (43,3 случая/1000 пациенто-лет), p=0,0023, и по сравнению с группами комбинированной терапии с сульфонилмочевиной и монотерапии инсулином (40,1 случая/1000 пациенто-лет), p=0,0034</w:t>
      </w:r>
    </w:p>
    <w:p w14:paraId="72A1C7D1" w14:textId="77777777" w:rsidR="009876CF" w:rsidRPr="00B265C8" w:rsidRDefault="009876CF" w:rsidP="00B265C8">
      <w:pPr>
        <w:pStyle w:val="af4"/>
        <w:numPr>
          <w:ilvl w:val="0"/>
          <w:numId w:val="25"/>
        </w:numPr>
        <w:spacing w:line="240" w:lineRule="auto"/>
        <w:ind w:left="426" w:hanging="426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>значительное снижение абсолютного риска связанной с сахарным диабетом смертности: метформина гидрохлорид — 7,5 случая/1000 пациенто-лет, только диета — 12,7 случая/1000 пациенто-лет, p=0,017</w:t>
      </w:r>
    </w:p>
    <w:p w14:paraId="437BA359" w14:textId="77777777" w:rsidR="009876CF" w:rsidRPr="00B265C8" w:rsidRDefault="009876CF" w:rsidP="00B265C8">
      <w:pPr>
        <w:pStyle w:val="af4"/>
        <w:numPr>
          <w:ilvl w:val="0"/>
          <w:numId w:val="25"/>
        </w:numPr>
        <w:spacing w:line="240" w:lineRule="auto"/>
        <w:ind w:left="426" w:hanging="426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>значительное снижение абсолютного риска общей смертности: в группе метформина гидрохлорида — 13,5 случая/1000 пациенто-лет по сравнению с 20,6 случая/1000 пациенто-лет (p=0,011) в группе пациентов на диете и в группе комбинированной терапии с сульфонилмочевиной и монотерапии инсулином — 18,9 случая/1000 пациенто-лет (p=0,021)</w:t>
      </w:r>
    </w:p>
    <w:p w14:paraId="79366213" w14:textId="77777777" w:rsidR="009876CF" w:rsidRPr="00B265C8" w:rsidRDefault="009876CF" w:rsidP="00B265C8">
      <w:pPr>
        <w:pStyle w:val="af4"/>
        <w:numPr>
          <w:ilvl w:val="0"/>
          <w:numId w:val="25"/>
        </w:numPr>
        <w:spacing w:line="240" w:lineRule="auto"/>
        <w:ind w:left="426" w:hanging="426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>значительное снижение абсолютного риска инфаркта миокарда: метформина гидрохлорид — 11 случаев/1000 пациенто-лет, только диета — 18 случаев/1000 пациенто-лет (p=0,01).</w:t>
      </w:r>
    </w:p>
    <w:p w14:paraId="365D5D74" w14:textId="77777777" w:rsidR="009876CF" w:rsidRPr="00B265C8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>Для метформина гидрохлорида, применяемого в качестве второй линии терапии в сочетании с сульфонилмочевиной, преимущество по клиническим результатам не продемонстрировано</w:t>
      </w:r>
    </w:p>
    <w:p w14:paraId="36D6EA02" w14:textId="77777777" w:rsidR="009876CF" w:rsidRPr="00B265C8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B265C8">
        <w:rPr>
          <w:iCs/>
          <w:sz w:val="24"/>
          <w:szCs w:val="24"/>
          <w:lang w:val="ru-RU"/>
        </w:rPr>
        <w:t>При сахарном диабете 1-го типа комбинация метформина гидрохлорида и инсулина применялась у отдельных пациентов, но клиническое преимущество этой комбинации не было официально установлено</w:t>
      </w:r>
    </w:p>
    <w:p w14:paraId="6DDC1169" w14:textId="77777777" w:rsidR="009876CF" w:rsidRPr="009876CF" w:rsidRDefault="009876CF" w:rsidP="009876CF">
      <w:pPr>
        <w:spacing w:line="240" w:lineRule="auto"/>
        <w:rPr>
          <w:i/>
          <w:iCs/>
          <w:sz w:val="24"/>
          <w:szCs w:val="24"/>
          <w:lang w:val="ru-RU"/>
        </w:rPr>
      </w:pPr>
      <w:r w:rsidRPr="009876CF">
        <w:rPr>
          <w:i/>
          <w:iCs/>
          <w:sz w:val="24"/>
          <w:szCs w:val="24"/>
          <w:lang w:val="ru-RU"/>
        </w:rPr>
        <w:t xml:space="preserve">Фармакокинетика. </w:t>
      </w:r>
    </w:p>
    <w:p w14:paraId="2E94DC50" w14:textId="77777777" w:rsidR="0075238B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/>
          <w:iCs/>
          <w:sz w:val="24"/>
          <w:szCs w:val="24"/>
          <w:lang w:val="ru-RU"/>
        </w:rPr>
        <w:t xml:space="preserve">Всасывание. </w:t>
      </w:r>
      <w:r w:rsidRPr="0075238B">
        <w:rPr>
          <w:iCs/>
          <w:sz w:val="24"/>
          <w:szCs w:val="24"/>
          <w:lang w:val="ru-RU"/>
        </w:rPr>
        <w:t xml:space="preserve">После приема метформина с пролонгированным высвобождением, абсорбция метформина значительно замедляется по сравнению с таблетками метформина с немедленным высвобождением. </w:t>
      </w:r>
    </w:p>
    <w:p w14:paraId="1FD4A395" w14:textId="77777777" w:rsidR="009876CF" w:rsidRPr="0075238B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75238B">
        <w:rPr>
          <w:iCs/>
          <w:sz w:val="24"/>
          <w:szCs w:val="24"/>
          <w:lang w:val="ru-RU"/>
        </w:rPr>
        <w:t>После приема внутрь 1 таблетки метформина с пролонгированным высвобождением 1000 мг пациентами после приема пищи и натощак максимальная плазменная концентрация составляет 1214 нг/мл и достигается в среднем за 5 часов (от 4 до 10 часов).</w:t>
      </w:r>
    </w:p>
    <w:p w14:paraId="3B945FA6" w14:textId="77777777" w:rsidR="009876CF" w:rsidRPr="0075238B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75238B">
        <w:rPr>
          <w:iCs/>
          <w:sz w:val="24"/>
          <w:szCs w:val="24"/>
          <w:lang w:val="ru-RU"/>
        </w:rPr>
        <w:t>При равновесном состоянии, как и при применении таблеток с немедленным высвобождением, максимальная концентрация (</w:t>
      </w:r>
      <w:proofErr w:type="spellStart"/>
      <w:r w:rsidRPr="0075238B">
        <w:rPr>
          <w:iCs/>
          <w:sz w:val="24"/>
          <w:szCs w:val="24"/>
          <w:lang w:val="ru-RU"/>
        </w:rPr>
        <w:t>С</w:t>
      </w:r>
      <w:r w:rsidRPr="0075238B">
        <w:rPr>
          <w:iCs/>
          <w:sz w:val="24"/>
          <w:szCs w:val="24"/>
          <w:vertAlign w:val="subscript"/>
          <w:lang w:val="ru-RU"/>
        </w:rPr>
        <w:t>max</w:t>
      </w:r>
      <w:proofErr w:type="spellEnd"/>
      <w:r w:rsidRPr="0075238B">
        <w:rPr>
          <w:iCs/>
          <w:sz w:val="24"/>
          <w:szCs w:val="24"/>
          <w:lang w:val="ru-RU"/>
        </w:rPr>
        <w:t>) и площадь под кривой AUC увеличиваются непропорционально введенной внутрь дозы. AUC после однократного приема внутрь 2000 мг метформина гидрохлорида в виде таблеток с пролонгированным высвобождением аналогичное AUC, что наблюдается после приема 1000 мг метформина гидрохлорида в виде таблеток с немедленным высвобождением 2 раза в сутки.</w:t>
      </w:r>
    </w:p>
    <w:p w14:paraId="462638F3" w14:textId="77777777" w:rsidR="009876CF" w:rsidRPr="0075238B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75238B">
        <w:rPr>
          <w:iCs/>
          <w:sz w:val="24"/>
          <w:szCs w:val="24"/>
          <w:lang w:val="ru-RU"/>
        </w:rPr>
        <w:t xml:space="preserve">Колебания </w:t>
      </w:r>
      <w:r w:rsidR="0075238B" w:rsidRPr="007A21BB">
        <w:rPr>
          <w:sz w:val="24"/>
          <w:szCs w:val="24"/>
          <w:lang w:eastAsia="uk-UA"/>
        </w:rPr>
        <w:t>С</w:t>
      </w:r>
      <w:r w:rsidR="0075238B" w:rsidRPr="007A21BB">
        <w:rPr>
          <w:sz w:val="24"/>
          <w:szCs w:val="24"/>
          <w:vertAlign w:val="subscript"/>
          <w:lang w:val="en-US" w:eastAsia="uk-UA"/>
        </w:rPr>
        <w:t>max</w:t>
      </w:r>
      <w:r w:rsidR="0075238B" w:rsidRPr="0075238B">
        <w:rPr>
          <w:iCs/>
          <w:sz w:val="24"/>
          <w:szCs w:val="24"/>
          <w:lang w:val="ru-RU"/>
        </w:rPr>
        <w:t xml:space="preserve"> </w:t>
      </w:r>
      <w:r w:rsidRPr="0075238B">
        <w:rPr>
          <w:iCs/>
          <w:sz w:val="24"/>
          <w:szCs w:val="24"/>
          <w:lang w:val="ru-RU"/>
        </w:rPr>
        <w:t>и AUC у отдельных субъектов в случае приема таблеток метформина гидрохлорида с пролонгированным высвобождением по сравнению с колебаниями, которые наблюдаются в случае приема таблеток метформина гидрохлорида с немедленным высвобождением</w:t>
      </w:r>
      <w:r w:rsidR="0075238B">
        <w:rPr>
          <w:iCs/>
          <w:sz w:val="24"/>
          <w:szCs w:val="24"/>
          <w:lang w:val="ru-RU"/>
        </w:rPr>
        <w:t>, сопоставимы</w:t>
      </w:r>
      <w:r w:rsidRPr="0075238B">
        <w:rPr>
          <w:iCs/>
          <w:sz w:val="24"/>
          <w:szCs w:val="24"/>
          <w:lang w:val="ru-RU"/>
        </w:rPr>
        <w:t>.</w:t>
      </w:r>
    </w:p>
    <w:p w14:paraId="43638D5B" w14:textId="77777777" w:rsidR="009876CF" w:rsidRPr="0075238B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75238B">
        <w:rPr>
          <w:iCs/>
          <w:sz w:val="24"/>
          <w:szCs w:val="24"/>
          <w:lang w:val="ru-RU"/>
        </w:rPr>
        <w:t>После приема таблеток с пролонгированным высвобождением 1000 мг после приема пищи наблюдалось увеличение AUC на 77% (</w:t>
      </w:r>
      <w:proofErr w:type="spellStart"/>
      <w:r w:rsidR="0075238B" w:rsidRPr="0075238B">
        <w:rPr>
          <w:iCs/>
          <w:sz w:val="24"/>
          <w:szCs w:val="24"/>
          <w:lang w:val="ru-RU"/>
        </w:rPr>
        <w:t>С</w:t>
      </w:r>
      <w:r w:rsidR="0075238B" w:rsidRPr="0075238B">
        <w:rPr>
          <w:iCs/>
          <w:sz w:val="24"/>
          <w:szCs w:val="24"/>
          <w:vertAlign w:val="subscript"/>
          <w:lang w:val="ru-RU"/>
        </w:rPr>
        <w:t>max</w:t>
      </w:r>
      <w:proofErr w:type="spellEnd"/>
      <w:r w:rsidR="0075238B" w:rsidRPr="0075238B">
        <w:rPr>
          <w:iCs/>
          <w:sz w:val="24"/>
          <w:szCs w:val="24"/>
          <w:lang w:val="ru-RU"/>
        </w:rPr>
        <w:t xml:space="preserve"> </w:t>
      </w:r>
      <w:r w:rsidRPr="0075238B">
        <w:rPr>
          <w:iCs/>
          <w:sz w:val="24"/>
          <w:szCs w:val="24"/>
          <w:lang w:val="ru-RU"/>
        </w:rPr>
        <w:t xml:space="preserve">повышалась на 26 % и </w:t>
      </w:r>
      <w:proofErr w:type="spellStart"/>
      <w:r w:rsidRPr="0075238B">
        <w:rPr>
          <w:iCs/>
          <w:sz w:val="24"/>
          <w:szCs w:val="24"/>
          <w:lang w:val="ru-RU"/>
        </w:rPr>
        <w:t>Т</w:t>
      </w:r>
      <w:r w:rsidRPr="0075238B">
        <w:rPr>
          <w:iCs/>
          <w:sz w:val="24"/>
          <w:szCs w:val="24"/>
          <w:vertAlign w:val="subscript"/>
          <w:lang w:val="ru-RU"/>
        </w:rPr>
        <w:t>max</w:t>
      </w:r>
      <w:proofErr w:type="spellEnd"/>
      <w:r w:rsidRPr="0075238B">
        <w:rPr>
          <w:iCs/>
          <w:sz w:val="24"/>
          <w:szCs w:val="24"/>
          <w:lang w:val="ru-RU"/>
        </w:rPr>
        <w:t xml:space="preserve"> удлинялось до 1 часа).</w:t>
      </w:r>
    </w:p>
    <w:p w14:paraId="5D32B60C" w14:textId="77777777" w:rsidR="009876CF" w:rsidRPr="0075238B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75238B">
        <w:rPr>
          <w:iCs/>
          <w:sz w:val="24"/>
          <w:szCs w:val="24"/>
          <w:lang w:val="ru-RU"/>
        </w:rPr>
        <w:t>Всасывание метформина из таблеток с пролонгированным высвобождением не меняется в зависимости от состава пищи. Не наблюдается кумуляции при многократном приеме до 2000 мг метформина гидрохлорида в виде таблеток с пролонгированным высвобождением.</w:t>
      </w:r>
    </w:p>
    <w:p w14:paraId="7D7EC9F7" w14:textId="77777777" w:rsidR="009876CF" w:rsidRPr="0075238B" w:rsidRDefault="009876CF" w:rsidP="009876CF">
      <w:pPr>
        <w:spacing w:line="240" w:lineRule="auto"/>
        <w:rPr>
          <w:i/>
          <w:iCs/>
          <w:sz w:val="24"/>
          <w:szCs w:val="24"/>
          <w:lang w:val="ru-RU"/>
        </w:rPr>
      </w:pPr>
      <w:r w:rsidRPr="009876CF">
        <w:rPr>
          <w:i/>
          <w:iCs/>
          <w:sz w:val="24"/>
          <w:szCs w:val="24"/>
          <w:lang w:val="ru-RU"/>
        </w:rPr>
        <w:t xml:space="preserve">Распределение. </w:t>
      </w:r>
      <w:r w:rsidRPr="0075238B">
        <w:rPr>
          <w:iCs/>
          <w:sz w:val="24"/>
          <w:szCs w:val="24"/>
          <w:lang w:val="ru-RU"/>
        </w:rPr>
        <w:t>Связывание с белками плазмы крови незначительное. Метформин проникает в эритроциты. Максимальная концентрация в крови ниже, чем максимальная концентрация в плазме крови, и достигается через то же время. Эритроциты, вероятнее всего, представляют вторую камеру распределения. Средний объем распределения (</w:t>
      </w:r>
      <w:proofErr w:type="spellStart"/>
      <w:r w:rsidRPr="0075238B">
        <w:rPr>
          <w:iCs/>
          <w:sz w:val="24"/>
          <w:szCs w:val="24"/>
          <w:lang w:val="ru-RU"/>
        </w:rPr>
        <w:t>Vd</w:t>
      </w:r>
      <w:proofErr w:type="spellEnd"/>
      <w:r w:rsidRPr="0075238B">
        <w:rPr>
          <w:iCs/>
          <w:sz w:val="24"/>
          <w:szCs w:val="24"/>
          <w:lang w:val="ru-RU"/>
        </w:rPr>
        <w:t>) колеблется в диапазоне 63-276 л.</w:t>
      </w:r>
    </w:p>
    <w:p w14:paraId="0417003F" w14:textId="77777777" w:rsidR="009876CF" w:rsidRPr="0075238B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/>
          <w:iCs/>
          <w:sz w:val="24"/>
          <w:szCs w:val="24"/>
          <w:lang w:val="ru-RU"/>
        </w:rPr>
        <w:t xml:space="preserve">Метаболизм. </w:t>
      </w:r>
      <w:r w:rsidRPr="0075238B">
        <w:rPr>
          <w:iCs/>
          <w:sz w:val="24"/>
          <w:szCs w:val="24"/>
          <w:lang w:val="ru-RU"/>
        </w:rPr>
        <w:t>Метформин выводится в неизмененном виде с мочой. Метаболитов у человека не обнаружено.</w:t>
      </w:r>
    </w:p>
    <w:p w14:paraId="01711994" w14:textId="77777777" w:rsidR="009876CF" w:rsidRPr="0075238B" w:rsidRDefault="009876CF" w:rsidP="009876CF">
      <w:pPr>
        <w:spacing w:line="240" w:lineRule="auto"/>
        <w:rPr>
          <w:iCs/>
          <w:sz w:val="24"/>
          <w:szCs w:val="24"/>
          <w:lang w:val="ru-RU"/>
        </w:rPr>
      </w:pPr>
      <w:r w:rsidRPr="009876CF">
        <w:rPr>
          <w:i/>
          <w:iCs/>
          <w:sz w:val="24"/>
          <w:szCs w:val="24"/>
          <w:lang w:val="ru-RU"/>
        </w:rPr>
        <w:t xml:space="preserve">Выведение. </w:t>
      </w:r>
      <w:r w:rsidRPr="0075238B">
        <w:rPr>
          <w:iCs/>
          <w:sz w:val="24"/>
          <w:szCs w:val="24"/>
          <w:lang w:val="ru-RU"/>
        </w:rPr>
        <w:t>Почечный клиренс метформина составляет &gt; 400 мл/мин. Это указывает на то, что метформин выводится за счет клубочковой фильтрации и канальцевой секреции. После приема дозы период полувыведения составляет около 6,5 часа.</w:t>
      </w:r>
      <w:r w:rsidR="0075238B">
        <w:rPr>
          <w:iCs/>
          <w:sz w:val="24"/>
          <w:szCs w:val="24"/>
          <w:lang w:val="ru-RU"/>
        </w:rPr>
        <w:t xml:space="preserve"> </w:t>
      </w:r>
      <w:r w:rsidRPr="0075238B">
        <w:rPr>
          <w:iCs/>
          <w:sz w:val="24"/>
          <w:szCs w:val="24"/>
          <w:lang w:val="ru-RU"/>
        </w:rPr>
        <w:t>При нарушении функции почек почечный клиренс снижается пропорционально клиренсу креатинина и поэтому период полувыведения увеличивается, что приводит к увеличению уровня метформина в плазме крови.</w:t>
      </w:r>
    </w:p>
    <w:p w14:paraId="6AEEE814" w14:textId="77777777" w:rsidR="009876CF" w:rsidRPr="009876CF" w:rsidRDefault="009876CF" w:rsidP="009876CF">
      <w:pPr>
        <w:spacing w:line="240" w:lineRule="auto"/>
        <w:rPr>
          <w:i/>
          <w:iCs/>
          <w:sz w:val="24"/>
          <w:szCs w:val="24"/>
          <w:lang w:val="ru-RU"/>
        </w:rPr>
      </w:pPr>
      <w:r w:rsidRPr="009876CF">
        <w:rPr>
          <w:i/>
          <w:iCs/>
          <w:sz w:val="24"/>
          <w:szCs w:val="24"/>
          <w:lang w:val="ru-RU"/>
        </w:rPr>
        <w:t>Особые группы пациентов.</w:t>
      </w:r>
    </w:p>
    <w:p w14:paraId="6A4A32A3" w14:textId="77777777" w:rsidR="009876CF" w:rsidRPr="009876CF" w:rsidRDefault="009876CF" w:rsidP="009876CF">
      <w:pPr>
        <w:spacing w:line="240" w:lineRule="auto"/>
        <w:rPr>
          <w:i/>
          <w:iCs/>
          <w:sz w:val="24"/>
          <w:szCs w:val="24"/>
          <w:lang w:val="ru-RU"/>
        </w:rPr>
      </w:pPr>
      <w:r w:rsidRPr="009876CF">
        <w:rPr>
          <w:i/>
          <w:iCs/>
          <w:sz w:val="24"/>
          <w:szCs w:val="24"/>
          <w:lang w:val="ru-RU"/>
        </w:rPr>
        <w:t>Почечная недостаточность.</w:t>
      </w:r>
    </w:p>
    <w:p w14:paraId="3B8587D5" w14:textId="77777777" w:rsidR="000D2F6A" w:rsidRPr="0075238B" w:rsidRDefault="009876CF" w:rsidP="009876CF">
      <w:pPr>
        <w:spacing w:line="240" w:lineRule="auto"/>
        <w:rPr>
          <w:sz w:val="24"/>
          <w:szCs w:val="24"/>
          <w:lang w:val="ru-RU"/>
        </w:rPr>
      </w:pPr>
      <w:r w:rsidRPr="0075238B">
        <w:rPr>
          <w:iCs/>
          <w:sz w:val="24"/>
          <w:szCs w:val="24"/>
          <w:lang w:val="ru-RU"/>
        </w:rPr>
        <w:t xml:space="preserve">Имеются ограниченные данные в отношении пациентов с умеренной почечной недостаточностью, поэтому невозможно точно оценить системную экспозицию метформина в этой группе больных по сравнению с пациентами с нормальной функцией почек. Поэтому необходима коррекция дозы в </w:t>
      </w:r>
      <w:r w:rsidRPr="0075238B">
        <w:rPr>
          <w:iCs/>
          <w:sz w:val="24"/>
          <w:szCs w:val="24"/>
          <w:lang w:val="ru-RU"/>
        </w:rPr>
        <w:lastRenderedPageBreak/>
        <w:t>зависимости от клинической эффективности/переносимости (см. раздел «Способ применения и дозы</w:t>
      </w:r>
      <w:r w:rsidR="000D2F6A" w:rsidRPr="0075238B">
        <w:rPr>
          <w:sz w:val="24"/>
          <w:szCs w:val="24"/>
          <w:lang w:val="ru-RU"/>
        </w:rPr>
        <w:t>»).</w:t>
      </w:r>
    </w:p>
    <w:p w14:paraId="0CB8D072" w14:textId="77777777" w:rsidR="00FC361C" w:rsidRPr="006414B0" w:rsidRDefault="00FC361C" w:rsidP="009B236C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14:paraId="292165A1" w14:textId="77777777" w:rsidR="00351F4D" w:rsidRPr="006414B0" w:rsidRDefault="00351F4D" w:rsidP="009B236C">
      <w:pPr>
        <w:widowControl/>
        <w:spacing w:line="240" w:lineRule="auto"/>
        <w:rPr>
          <w:b/>
          <w:sz w:val="24"/>
          <w:szCs w:val="24"/>
          <w:lang w:val="ru-RU"/>
        </w:rPr>
      </w:pPr>
      <w:r w:rsidRPr="006414B0">
        <w:rPr>
          <w:b/>
          <w:sz w:val="24"/>
          <w:szCs w:val="24"/>
          <w:lang w:val="ru-RU"/>
        </w:rPr>
        <w:t>Клинические свойства.</w:t>
      </w:r>
    </w:p>
    <w:p w14:paraId="01449E85" w14:textId="77777777" w:rsidR="00351F4D" w:rsidRPr="006414B0" w:rsidRDefault="00351F4D" w:rsidP="009B236C">
      <w:pPr>
        <w:spacing w:line="240" w:lineRule="auto"/>
        <w:rPr>
          <w:b/>
          <w:i/>
          <w:sz w:val="24"/>
          <w:szCs w:val="24"/>
          <w:lang w:val="ru-RU"/>
        </w:rPr>
      </w:pPr>
      <w:r w:rsidRPr="006414B0">
        <w:rPr>
          <w:b/>
          <w:i/>
          <w:sz w:val="24"/>
          <w:szCs w:val="24"/>
          <w:lang w:val="ru-RU"/>
        </w:rPr>
        <w:t xml:space="preserve">Показания. </w:t>
      </w:r>
    </w:p>
    <w:p w14:paraId="4081FD4D" w14:textId="77777777" w:rsidR="0075238B" w:rsidRPr="0075238B" w:rsidRDefault="0075238B" w:rsidP="0075238B">
      <w:pPr>
        <w:widowControl/>
        <w:numPr>
          <w:ilvl w:val="0"/>
          <w:numId w:val="23"/>
        </w:numPr>
        <w:tabs>
          <w:tab w:val="left" w:pos="499"/>
        </w:tabs>
        <w:autoSpaceDE/>
        <w:autoSpaceDN/>
        <w:adjustRightInd/>
        <w:spacing w:line="240" w:lineRule="auto"/>
        <w:ind w:left="284" w:right="424" w:hanging="284"/>
        <w:contextualSpacing/>
        <w:jc w:val="left"/>
        <w:rPr>
          <w:sz w:val="24"/>
          <w:szCs w:val="24"/>
          <w:lang w:val="ru-RU" w:eastAsia="uk-UA"/>
        </w:rPr>
      </w:pPr>
      <w:r w:rsidRPr="0075238B">
        <w:rPr>
          <w:sz w:val="24"/>
          <w:szCs w:val="24"/>
          <w:lang w:val="ru-RU" w:eastAsia="uk-UA"/>
        </w:rPr>
        <w:t>Снижение риска или задержка начала сахарного диабета 2 типа у взрослых пациентов с избыточной массой тела и с НТГ* и/или НГН*, и/или повышенным уровнем HbA1C, которые имеют:</w:t>
      </w:r>
    </w:p>
    <w:p w14:paraId="55DF5A86" w14:textId="77777777" w:rsidR="0075238B" w:rsidRPr="0075238B" w:rsidRDefault="0075238B" w:rsidP="0075238B">
      <w:pPr>
        <w:widowControl/>
        <w:numPr>
          <w:ilvl w:val="0"/>
          <w:numId w:val="24"/>
        </w:numPr>
        <w:tabs>
          <w:tab w:val="left" w:pos="922"/>
        </w:tabs>
        <w:autoSpaceDE/>
        <w:autoSpaceDN/>
        <w:adjustRightInd/>
        <w:spacing w:line="240" w:lineRule="auto"/>
        <w:ind w:left="284" w:right="424" w:firstLine="567"/>
        <w:contextualSpacing/>
        <w:jc w:val="left"/>
        <w:rPr>
          <w:sz w:val="24"/>
          <w:szCs w:val="24"/>
          <w:lang w:val="ru-RU" w:eastAsia="uk-UA"/>
        </w:rPr>
      </w:pPr>
      <w:r w:rsidRPr="0075238B">
        <w:rPr>
          <w:sz w:val="24"/>
          <w:szCs w:val="24"/>
          <w:lang w:val="ru-RU" w:eastAsia="uk-UA"/>
        </w:rPr>
        <w:t>высокий риск развития явного (манифестного) сахарного диабета 2 типа (см. раздел «Фармакодинамика»);</w:t>
      </w:r>
    </w:p>
    <w:p w14:paraId="74A0AD07" w14:textId="77777777" w:rsidR="0075238B" w:rsidRPr="0075238B" w:rsidRDefault="0075238B" w:rsidP="0075238B">
      <w:pPr>
        <w:widowControl/>
        <w:numPr>
          <w:ilvl w:val="0"/>
          <w:numId w:val="24"/>
        </w:numPr>
        <w:tabs>
          <w:tab w:val="left" w:pos="922"/>
        </w:tabs>
        <w:autoSpaceDE/>
        <w:autoSpaceDN/>
        <w:adjustRightInd/>
        <w:spacing w:line="240" w:lineRule="auto"/>
        <w:ind w:left="284" w:right="424" w:firstLine="567"/>
        <w:contextualSpacing/>
        <w:jc w:val="left"/>
        <w:rPr>
          <w:sz w:val="24"/>
          <w:szCs w:val="24"/>
          <w:lang w:val="ru-RU" w:eastAsia="uk-UA"/>
        </w:rPr>
      </w:pPr>
      <w:r w:rsidRPr="0075238B">
        <w:rPr>
          <w:sz w:val="24"/>
          <w:szCs w:val="24"/>
          <w:lang w:val="ru-RU" w:eastAsia="uk-UA"/>
        </w:rPr>
        <w:t>прогрессирующие нарушения углеводного обмена несмотря на модификацию активного образа жизни в течение от 3 до 6 месяцев.</w:t>
      </w:r>
    </w:p>
    <w:p w14:paraId="531AEA64" w14:textId="77777777" w:rsidR="0075238B" w:rsidRPr="0075238B" w:rsidRDefault="0075238B" w:rsidP="0075238B">
      <w:pPr>
        <w:widowControl/>
        <w:tabs>
          <w:tab w:val="left" w:pos="499"/>
        </w:tabs>
        <w:autoSpaceDE/>
        <w:autoSpaceDN/>
        <w:adjustRightInd/>
        <w:spacing w:line="240" w:lineRule="auto"/>
        <w:ind w:right="424"/>
        <w:contextualSpacing/>
        <w:rPr>
          <w:sz w:val="24"/>
          <w:szCs w:val="24"/>
          <w:lang w:val="ru-RU" w:eastAsia="uk-UA"/>
        </w:rPr>
      </w:pPr>
      <w:r w:rsidRPr="0075238B">
        <w:rPr>
          <w:sz w:val="24"/>
          <w:szCs w:val="24"/>
          <w:lang w:val="ru-RU" w:eastAsia="uk-UA"/>
        </w:rPr>
        <w:t>Лечение препаратом Диаформин</w:t>
      </w:r>
      <w:r w:rsidRPr="0075238B">
        <w:rPr>
          <w:sz w:val="24"/>
          <w:szCs w:val="24"/>
          <w:vertAlign w:val="superscript"/>
          <w:lang w:val="ru-RU" w:eastAsia="uk-UA"/>
        </w:rPr>
        <w:t>®</w:t>
      </w:r>
      <w:r w:rsidRPr="0075238B">
        <w:rPr>
          <w:sz w:val="24"/>
          <w:szCs w:val="24"/>
          <w:lang w:val="ru-RU" w:eastAsia="uk-UA"/>
        </w:rPr>
        <w:t xml:space="preserve"> SR должно быть основано на оценке риска, включая соответствующие мероприятия контроля гликемии и свидетельства высокого риска со стороны сердечно-сосудистой системы.</w:t>
      </w:r>
    </w:p>
    <w:p w14:paraId="4A9EDA1D" w14:textId="77777777" w:rsidR="0075238B" w:rsidRPr="0075238B" w:rsidRDefault="0075238B" w:rsidP="0075238B">
      <w:pPr>
        <w:widowControl/>
        <w:tabs>
          <w:tab w:val="left" w:pos="499"/>
        </w:tabs>
        <w:autoSpaceDE/>
        <w:autoSpaceDN/>
        <w:adjustRightInd/>
        <w:spacing w:line="240" w:lineRule="auto"/>
        <w:ind w:right="424"/>
        <w:contextualSpacing/>
        <w:rPr>
          <w:sz w:val="24"/>
          <w:szCs w:val="24"/>
          <w:lang w:val="ru-RU" w:eastAsia="uk-UA"/>
        </w:rPr>
      </w:pPr>
      <w:r w:rsidRPr="0075238B">
        <w:rPr>
          <w:sz w:val="24"/>
          <w:szCs w:val="24"/>
          <w:lang w:val="ru-RU" w:eastAsia="uk-UA"/>
        </w:rPr>
        <w:t>Параллельно с началом применения метформина нужно продолжать изменения образа жизни за исключением тех случаев, когда пациент не способен к таким изменениям по медицинским причинам.</w:t>
      </w:r>
    </w:p>
    <w:p w14:paraId="4B2277EE" w14:textId="77777777" w:rsidR="0075238B" w:rsidRPr="0075238B" w:rsidRDefault="0075238B" w:rsidP="0075238B">
      <w:pPr>
        <w:widowControl/>
        <w:tabs>
          <w:tab w:val="left" w:pos="499"/>
        </w:tabs>
        <w:autoSpaceDE/>
        <w:autoSpaceDN/>
        <w:adjustRightInd/>
        <w:spacing w:line="240" w:lineRule="auto"/>
        <w:ind w:right="424"/>
        <w:contextualSpacing/>
        <w:rPr>
          <w:sz w:val="24"/>
          <w:szCs w:val="24"/>
          <w:lang w:val="ru-RU" w:eastAsia="uk-UA"/>
        </w:rPr>
      </w:pPr>
      <w:r w:rsidRPr="0075238B">
        <w:rPr>
          <w:sz w:val="24"/>
          <w:szCs w:val="24"/>
          <w:lang w:val="ru-RU" w:eastAsia="uk-UA"/>
        </w:rPr>
        <w:t>* НТГ: нарушенная толерантность к глюкозе; НГН: нарушенная гликемия натощак.</w:t>
      </w:r>
    </w:p>
    <w:p w14:paraId="045FC6CC" w14:textId="77777777" w:rsidR="00427A78" w:rsidRPr="0075238B" w:rsidRDefault="0075238B" w:rsidP="0075238B">
      <w:pPr>
        <w:numPr>
          <w:ilvl w:val="0"/>
          <w:numId w:val="23"/>
        </w:numPr>
        <w:tabs>
          <w:tab w:val="left" w:pos="499"/>
        </w:tabs>
        <w:adjustRightInd/>
        <w:spacing w:line="240" w:lineRule="auto"/>
        <w:contextualSpacing/>
        <w:rPr>
          <w:i/>
          <w:sz w:val="24"/>
          <w:szCs w:val="24"/>
          <w:lang w:val="ru-RU" w:eastAsia="uk-UA"/>
        </w:rPr>
      </w:pPr>
      <w:r w:rsidRPr="0075238B">
        <w:rPr>
          <w:sz w:val="24"/>
          <w:szCs w:val="24"/>
          <w:lang w:val="ru-RU" w:eastAsia="uk-UA"/>
        </w:rPr>
        <w:t>Лечение сахарного диабета 2-го типа у взрослых, особенно у больных с избыточной массой тела, в случае если диетотерапия и физические нагрузки не обеспечивают адекватного гликемического контроля. Диаформин</w:t>
      </w:r>
      <w:r w:rsidRPr="0075238B">
        <w:rPr>
          <w:sz w:val="24"/>
          <w:szCs w:val="24"/>
          <w:vertAlign w:val="superscript"/>
          <w:lang w:val="ru-RU" w:eastAsia="uk-UA"/>
        </w:rPr>
        <w:t>®</w:t>
      </w:r>
      <w:r w:rsidRPr="0075238B">
        <w:rPr>
          <w:sz w:val="24"/>
          <w:szCs w:val="24"/>
          <w:lang w:val="ru-RU" w:eastAsia="uk-UA"/>
        </w:rPr>
        <w:t xml:space="preserve"> SR можно применять в качестве монотерапии или в комбинации с другими пероральными противодиабетическими средствами или совместно с инсулином</w:t>
      </w:r>
      <w:r w:rsidR="002F6FFF" w:rsidRPr="0075238B">
        <w:rPr>
          <w:sz w:val="24"/>
          <w:szCs w:val="24"/>
          <w:lang w:val="ru-RU" w:eastAsia="uk-UA"/>
        </w:rPr>
        <w:t>.</w:t>
      </w:r>
    </w:p>
    <w:p w14:paraId="695A31B6" w14:textId="77777777" w:rsidR="00E450CA" w:rsidRPr="006414B0" w:rsidRDefault="00E450CA" w:rsidP="009B236C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 w:eastAsia="uk-UA"/>
        </w:rPr>
      </w:pPr>
    </w:p>
    <w:p w14:paraId="4431F666" w14:textId="77777777" w:rsidR="00EC1A0A" w:rsidRPr="006414B0" w:rsidRDefault="00EC1A0A" w:rsidP="009B236C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  <w:r w:rsidRPr="006414B0">
        <w:rPr>
          <w:b/>
          <w:i/>
          <w:sz w:val="24"/>
          <w:szCs w:val="24"/>
          <w:lang w:val="ru-RU"/>
        </w:rPr>
        <w:t xml:space="preserve">Противопоказания. </w:t>
      </w:r>
    </w:p>
    <w:p w14:paraId="4BC67461" w14:textId="77777777" w:rsidR="00E450CA" w:rsidRPr="006414B0" w:rsidRDefault="00E450CA" w:rsidP="009B236C">
      <w:pPr>
        <w:widowControl/>
        <w:overflowPunct w:val="0"/>
        <w:autoSpaceDE/>
        <w:autoSpaceDN/>
        <w:spacing w:line="240" w:lineRule="auto"/>
        <w:textAlignment w:val="baseline"/>
        <w:rPr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>– повышенная чувствительность к метформину или к любому другому компоненту препарата;</w:t>
      </w:r>
    </w:p>
    <w:p w14:paraId="176B9877" w14:textId="77777777" w:rsidR="00AC4AFC" w:rsidRPr="006414B0" w:rsidRDefault="00E450CA" w:rsidP="009B236C">
      <w:pPr>
        <w:widowControl/>
        <w:overflowPunct w:val="0"/>
        <w:autoSpaceDE/>
        <w:autoSpaceDN/>
        <w:spacing w:line="240" w:lineRule="auto"/>
        <w:textAlignment w:val="baseline"/>
        <w:rPr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 xml:space="preserve">– любой тип острого метаболического ацидоза (например, лактоацидоз, диабетический кетоацидоз); </w:t>
      </w:r>
    </w:p>
    <w:p w14:paraId="15C4BDF0" w14:textId="77777777" w:rsidR="00E450CA" w:rsidRPr="006414B0" w:rsidRDefault="00AC4AFC" w:rsidP="00AC4AFC">
      <w:pPr>
        <w:widowControl/>
        <w:overflowPunct w:val="0"/>
        <w:spacing w:line="240" w:lineRule="auto"/>
        <w:textAlignment w:val="baseline"/>
        <w:rPr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/>
        </w:rPr>
        <w:t>– диабетическая прекома;</w:t>
      </w:r>
    </w:p>
    <w:p w14:paraId="37B75636" w14:textId="77777777" w:rsidR="007A538E" w:rsidRPr="006414B0" w:rsidRDefault="007A538E" w:rsidP="009B236C">
      <w:pPr>
        <w:widowControl/>
        <w:overflowPunct w:val="0"/>
        <w:spacing w:line="240" w:lineRule="auto"/>
        <w:textAlignment w:val="baseline"/>
        <w:rPr>
          <w:sz w:val="24"/>
          <w:szCs w:val="24"/>
          <w:lang w:val="ru-RU"/>
        </w:rPr>
      </w:pPr>
      <w:r w:rsidRPr="006414B0">
        <w:rPr>
          <w:sz w:val="24"/>
          <w:szCs w:val="24"/>
          <w:lang w:val="ru-RU"/>
        </w:rPr>
        <w:t>– почечная недостаточность тяжелой степени (скорость клубочковой фильтрации (СКФ) &lt; 30 мл/мин);</w:t>
      </w:r>
    </w:p>
    <w:p w14:paraId="0F732E09" w14:textId="77777777" w:rsidR="00E450CA" w:rsidRPr="006414B0" w:rsidRDefault="00E450CA" w:rsidP="009B236C">
      <w:pPr>
        <w:widowControl/>
        <w:overflowPunct w:val="0"/>
        <w:autoSpaceDE/>
        <w:autoSpaceDN/>
        <w:spacing w:line="240" w:lineRule="auto"/>
        <w:textAlignment w:val="baseline"/>
        <w:rPr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>– острые состояния, протекающие с риском развития нарушений функции почек, такие как обезвоживание организма, тяжелые инфекционные заболевания, шок;</w:t>
      </w:r>
    </w:p>
    <w:p w14:paraId="50B9CFA2" w14:textId="77777777" w:rsidR="006D0FA6" w:rsidRPr="006414B0" w:rsidRDefault="00E450CA" w:rsidP="006D0FA6">
      <w:pPr>
        <w:spacing w:line="240" w:lineRule="auto"/>
        <w:rPr>
          <w:sz w:val="24"/>
          <w:szCs w:val="24"/>
          <w:lang w:val="ru-RU"/>
        </w:rPr>
      </w:pPr>
      <w:r w:rsidRPr="006414B0">
        <w:rPr>
          <w:sz w:val="24"/>
          <w:szCs w:val="24"/>
          <w:lang w:val="ru-RU" w:eastAsia="uk-UA"/>
        </w:rPr>
        <w:t>– заболевания, которые могут приводить к развитию гипоксии тканей (особенно острые заболевания или обострение хронической болезни): декомпенсированная сердечная недостаточность, дыхательная недостаточность, недавно перенесенный инфаркт миокарда, шок;</w:t>
      </w:r>
    </w:p>
    <w:p w14:paraId="035F54D2" w14:textId="77777777" w:rsidR="00774660" w:rsidRPr="006414B0" w:rsidRDefault="006D0FA6" w:rsidP="00F95502">
      <w:pPr>
        <w:spacing w:line="240" w:lineRule="auto"/>
        <w:rPr>
          <w:sz w:val="24"/>
          <w:szCs w:val="24"/>
          <w:lang w:val="ru-RU"/>
        </w:rPr>
      </w:pPr>
      <w:r w:rsidRPr="006414B0">
        <w:rPr>
          <w:sz w:val="24"/>
          <w:szCs w:val="24"/>
          <w:lang w:val="ru-RU" w:eastAsia="uk-UA"/>
        </w:rPr>
        <w:t>– печеночная недостаточность, острое отравление алкоголем, алкоголизм.</w:t>
      </w:r>
    </w:p>
    <w:p w14:paraId="7B459D08" w14:textId="77777777" w:rsidR="00EE425F" w:rsidRPr="006414B0" w:rsidRDefault="00EE425F" w:rsidP="009B236C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 w:eastAsia="uk-UA"/>
        </w:rPr>
      </w:pPr>
    </w:p>
    <w:p w14:paraId="38A62435" w14:textId="77777777" w:rsidR="004E662B" w:rsidRPr="006414B0" w:rsidRDefault="004E662B" w:rsidP="009B236C">
      <w:pPr>
        <w:pStyle w:val="FR2"/>
        <w:spacing w:line="240" w:lineRule="auto"/>
        <w:jc w:val="both"/>
        <w:rPr>
          <w:rFonts w:ascii="Times New Roman" w:hAnsi="Times New Roman" w:cs="Times New Roman"/>
        </w:rPr>
      </w:pPr>
      <w:r w:rsidRPr="006414B0">
        <w:rPr>
          <w:rFonts w:ascii="Times New Roman" w:hAnsi="Times New Roman" w:cs="Times New Roman"/>
          <w:b/>
          <w:i/>
        </w:rPr>
        <w:t>Взаимодействие с другими лекарственными средствами и другие виды взаимодействий.</w:t>
      </w:r>
      <w:r w:rsidRPr="006414B0">
        <w:rPr>
          <w:rFonts w:ascii="Times New Roman" w:hAnsi="Times New Roman" w:cs="Times New Roman"/>
        </w:rPr>
        <w:t xml:space="preserve"> </w:t>
      </w:r>
    </w:p>
    <w:p w14:paraId="58C7D919" w14:textId="77777777" w:rsidR="004E6C3B" w:rsidRPr="004E6C3B" w:rsidRDefault="004E6C3B" w:rsidP="004E6C3B">
      <w:pPr>
        <w:spacing w:line="240" w:lineRule="auto"/>
        <w:rPr>
          <w:i/>
          <w:sz w:val="24"/>
          <w:szCs w:val="24"/>
          <w:lang w:val="ru-RU" w:eastAsia="uk-UA"/>
        </w:rPr>
      </w:pPr>
      <w:r w:rsidRPr="004E6C3B">
        <w:rPr>
          <w:i/>
          <w:sz w:val="24"/>
          <w:szCs w:val="24"/>
          <w:lang w:val="ru-RU" w:eastAsia="uk-UA"/>
        </w:rPr>
        <w:t>Комбинации, которые не рекомендуется применять.</w:t>
      </w:r>
    </w:p>
    <w:p w14:paraId="05E077BE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i/>
          <w:sz w:val="24"/>
          <w:szCs w:val="24"/>
          <w:lang w:val="ru-RU" w:eastAsia="uk-UA"/>
        </w:rPr>
        <w:t xml:space="preserve">Алкоголь. </w:t>
      </w:r>
      <w:r w:rsidRPr="004E6C3B">
        <w:rPr>
          <w:sz w:val="24"/>
          <w:szCs w:val="24"/>
          <w:lang w:val="ru-RU" w:eastAsia="uk-UA"/>
        </w:rPr>
        <w:t xml:space="preserve">Алкогольная интоксикация ассоциируется с повышенным риском лактатацидоза, особенно в случаях голодания или соблюдения низкокалорийной диеты, а также при печеночной недостаточности. </w:t>
      </w:r>
    </w:p>
    <w:p w14:paraId="0F5E5778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i/>
          <w:sz w:val="24"/>
          <w:szCs w:val="24"/>
          <w:lang w:val="ru-RU" w:eastAsia="uk-UA"/>
        </w:rPr>
        <w:t>Йодсодержащие рентгеноконтрастные вещества</w:t>
      </w:r>
      <w:r w:rsidRPr="004E6C3B">
        <w:rPr>
          <w:sz w:val="24"/>
          <w:szCs w:val="24"/>
          <w:lang w:val="ru-RU" w:eastAsia="uk-UA"/>
        </w:rPr>
        <w:t>. Пациентам следует прекратить применение метформина до или во время проведения исследования и возобновить не ранее чем через 48 часов после исследования при условии получения нормального результата функции почек (см. разделы «Способ применения и дозы» и «Особенности применения»).</w:t>
      </w:r>
    </w:p>
    <w:p w14:paraId="314E46D9" w14:textId="77777777" w:rsidR="004E6C3B" w:rsidRPr="004E6C3B" w:rsidRDefault="004E6C3B" w:rsidP="004E6C3B">
      <w:pPr>
        <w:spacing w:line="240" w:lineRule="auto"/>
        <w:rPr>
          <w:i/>
          <w:sz w:val="24"/>
          <w:szCs w:val="24"/>
          <w:lang w:val="ru-RU" w:eastAsia="uk-UA"/>
        </w:rPr>
      </w:pPr>
      <w:r w:rsidRPr="004E6C3B">
        <w:rPr>
          <w:i/>
          <w:sz w:val="24"/>
          <w:szCs w:val="24"/>
          <w:lang w:val="ru-RU" w:eastAsia="uk-UA"/>
        </w:rPr>
        <w:t xml:space="preserve">Комбинации, которые следует применять с осторожностью. </w:t>
      </w:r>
    </w:p>
    <w:p w14:paraId="2300CBC6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sz w:val="24"/>
          <w:szCs w:val="24"/>
          <w:lang w:val="ru-RU" w:eastAsia="uk-UA"/>
        </w:rPr>
        <w:t>Некоторые лекарственные средства, например нестероидные противовоспалительные препараты (НПВП), включая селективные ингибиторы циклооксигеназы (ЦОГ) II, ингибиторы ангиотензинпревращающего фермента (АПФ), антагонисты рецепторов ангиотензина II и диуретики, особенно петлевые диуретики, могут негативно повлиять на функцию почек, что может увеличить риск возникновения лактоацидоза. В начале лечения вышеуказанными лекарственными средствами или их применения в комбинации с метформином, необходимо осуществлять тщательный контроль функции почек.</w:t>
      </w:r>
    </w:p>
    <w:p w14:paraId="709635B5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i/>
          <w:sz w:val="24"/>
          <w:szCs w:val="24"/>
          <w:lang w:val="ru-RU" w:eastAsia="uk-UA"/>
        </w:rPr>
        <w:t>Лекарственные средства, оказывающие гипергликемическое действие (глюкокортикостероиды системного и местного действия, симпатомиметики).</w:t>
      </w:r>
      <w:r w:rsidRPr="004E6C3B">
        <w:rPr>
          <w:sz w:val="24"/>
          <w:szCs w:val="24"/>
          <w:lang w:val="ru-RU" w:eastAsia="uk-UA"/>
        </w:rPr>
        <w:t xml:space="preserve"> Необходимо чаще контролировать уровень </w:t>
      </w:r>
      <w:r w:rsidRPr="004E6C3B">
        <w:rPr>
          <w:sz w:val="24"/>
          <w:szCs w:val="24"/>
          <w:lang w:val="ru-RU" w:eastAsia="uk-UA"/>
        </w:rPr>
        <w:lastRenderedPageBreak/>
        <w:t>глюкозы в крови, особенно в начале лечения. Во время и после прекращения такой совместной терапии необходимо корректировать дозу препарата Диаформин</w:t>
      </w:r>
      <w:r w:rsidRPr="004E6C3B">
        <w:rPr>
          <w:sz w:val="24"/>
          <w:szCs w:val="24"/>
          <w:vertAlign w:val="superscript"/>
          <w:lang w:val="ru-RU" w:eastAsia="uk-UA"/>
        </w:rPr>
        <w:t>®</w:t>
      </w:r>
      <w:r w:rsidRPr="004E6C3B">
        <w:rPr>
          <w:sz w:val="24"/>
          <w:szCs w:val="24"/>
          <w:lang w:val="ru-RU" w:eastAsia="uk-UA"/>
        </w:rPr>
        <w:t xml:space="preserve"> SR.</w:t>
      </w:r>
    </w:p>
    <w:p w14:paraId="4D97453B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i/>
          <w:sz w:val="24"/>
          <w:szCs w:val="24"/>
          <w:lang w:val="ru-RU" w:eastAsia="uk-UA"/>
        </w:rPr>
        <w:t>Транспортеры органических катионов (OCT).</w:t>
      </w:r>
      <w:r w:rsidRPr="004E6C3B">
        <w:rPr>
          <w:sz w:val="24"/>
          <w:szCs w:val="24"/>
          <w:lang w:val="ru-RU" w:eastAsia="uk-UA"/>
        </w:rPr>
        <w:t xml:space="preserve"> Метформин является субстратом обоих транспортеров OCT1 и OCT2. </w:t>
      </w:r>
    </w:p>
    <w:p w14:paraId="3F47D89A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sz w:val="24"/>
          <w:szCs w:val="24"/>
          <w:lang w:val="ru-RU" w:eastAsia="uk-UA"/>
        </w:rPr>
        <w:t>Одновременное применение метформина с:</w:t>
      </w:r>
    </w:p>
    <w:p w14:paraId="424D6290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sz w:val="24"/>
          <w:szCs w:val="24"/>
          <w:lang w:val="ru-RU" w:eastAsia="uk-UA"/>
        </w:rPr>
        <w:t>- ингибиторами OCT1 (такими как верапамил) может уменьшить эффективность метформина;</w:t>
      </w:r>
    </w:p>
    <w:p w14:paraId="2DCB0741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sz w:val="24"/>
          <w:szCs w:val="24"/>
          <w:lang w:val="ru-RU" w:eastAsia="uk-UA"/>
        </w:rPr>
        <w:t>- индукторами OCT1 (такими как рифампицин) может увеличить желудочно-кишечное всасывание и эффективность метформина;</w:t>
      </w:r>
    </w:p>
    <w:p w14:paraId="60E21364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sz w:val="24"/>
          <w:szCs w:val="24"/>
          <w:lang w:val="ru-RU" w:eastAsia="uk-UA"/>
        </w:rPr>
        <w:t>- ингибиторами OCT2 (такими как циметидин, долутегравир, ранолазин, триметоприм, вандетаниб, изавуконазол) может снизить почечный клиренс метформина с последующим увеличением концентрации метформина в плазме крови</w:t>
      </w:r>
    </w:p>
    <w:p w14:paraId="5C0EC7CE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4E6C3B">
        <w:rPr>
          <w:sz w:val="24"/>
          <w:szCs w:val="24"/>
          <w:lang w:val="ru-RU" w:eastAsia="uk-UA"/>
        </w:rPr>
        <w:t>- ингибиторами обеих OCT1 и OCT2 (такими как кризотиниб, олапариб) может повлиять на эффективность и почечный клиренс метформина.</w:t>
      </w:r>
    </w:p>
    <w:p w14:paraId="3E1419EE" w14:textId="77777777" w:rsidR="001111FC" w:rsidRPr="006414B0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sz w:val="24"/>
          <w:szCs w:val="24"/>
          <w:lang w:val="ru-RU" w:eastAsia="uk-UA"/>
        </w:rPr>
        <w:t>Поэтому рекомендуется проявлять особую осторожность при одновременном применении этих препаратов с метформином, особенно у пациентов с нарушением функции почек, поскольку концентрация метформина в плазме крови может возрасти. При необходимости следует взвесить возможность корректировки дозы метформина, поскольку ингибиторы/индукторы OCT могут повлиять на эффективность метформина</w:t>
      </w:r>
      <w:r w:rsidR="00A60B63" w:rsidRPr="006414B0">
        <w:rPr>
          <w:sz w:val="24"/>
          <w:szCs w:val="24"/>
          <w:lang w:val="ru-RU" w:eastAsia="uk-UA"/>
        </w:rPr>
        <w:t>.</w:t>
      </w:r>
    </w:p>
    <w:p w14:paraId="24338F1D" w14:textId="77777777" w:rsidR="008A6F51" w:rsidRPr="006414B0" w:rsidRDefault="008A6F51" w:rsidP="009B236C">
      <w:pPr>
        <w:spacing w:line="240" w:lineRule="auto"/>
        <w:rPr>
          <w:sz w:val="24"/>
          <w:szCs w:val="24"/>
          <w:lang w:val="ru-RU" w:eastAsia="uk-UA"/>
        </w:rPr>
      </w:pPr>
    </w:p>
    <w:p w14:paraId="6906023B" w14:textId="77777777" w:rsidR="004E662B" w:rsidRPr="006414B0" w:rsidRDefault="004E662B" w:rsidP="009B236C">
      <w:pPr>
        <w:spacing w:line="240" w:lineRule="auto"/>
        <w:rPr>
          <w:sz w:val="24"/>
          <w:szCs w:val="24"/>
          <w:lang w:val="ru-RU" w:eastAsia="uk-UA"/>
        </w:rPr>
      </w:pPr>
      <w:r w:rsidRPr="006414B0">
        <w:rPr>
          <w:b/>
          <w:i/>
          <w:sz w:val="24"/>
          <w:szCs w:val="24"/>
          <w:lang w:val="ru-RU"/>
        </w:rPr>
        <w:t>Особенности применения.</w:t>
      </w:r>
      <w:r w:rsidRPr="006414B0">
        <w:rPr>
          <w:sz w:val="24"/>
          <w:szCs w:val="24"/>
          <w:lang w:val="ru-RU"/>
        </w:rPr>
        <w:t xml:space="preserve"> </w:t>
      </w:r>
    </w:p>
    <w:p w14:paraId="26908234" w14:textId="77777777" w:rsidR="004E6C3B" w:rsidRPr="004E6C3B" w:rsidRDefault="004E6C3B" w:rsidP="004E6C3B">
      <w:pPr>
        <w:spacing w:line="240" w:lineRule="auto"/>
        <w:rPr>
          <w:i/>
          <w:sz w:val="24"/>
          <w:szCs w:val="24"/>
          <w:lang w:val="ru-RU"/>
        </w:rPr>
      </w:pPr>
      <w:r w:rsidRPr="004E6C3B">
        <w:rPr>
          <w:i/>
          <w:sz w:val="24"/>
          <w:szCs w:val="24"/>
          <w:lang w:val="ru-RU"/>
        </w:rPr>
        <w:t>Лактоацидоз.</w:t>
      </w:r>
    </w:p>
    <w:p w14:paraId="10DFC688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i/>
          <w:sz w:val="24"/>
          <w:szCs w:val="24"/>
          <w:lang w:val="ru-RU"/>
        </w:rPr>
        <w:t xml:space="preserve">Лактоацидоз </w:t>
      </w:r>
      <w:r w:rsidRPr="004E6C3B">
        <w:rPr>
          <w:sz w:val="24"/>
          <w:szCs w:val="24"/>
          <w:lang w:val="ru-RU"/>
        </w:rPr>
        <w:t>является очень редким, но тяжелым метаболическим осложнением, чаще всего возникает при остром ухудшении функции почек, сердечно-легочном заболевании или сепсисе. При остром ухудшении функции почек происходит накопление метформина, что увеличивает риск развития лактоацидоза.</w:t>
      </w:r>
      <w:r>
        <w:rPr>
          <w:sz w:val="24"/>
          <w:szCs w:val="24"/>
          <w:lang w:val="ru-RU"/>
        </w:rPr>
        <w:t xml:space="preserve"> </w:t>
      </w:r>
      <w:r w:rsidRPr="004E6C3B">
        <w:rPr>
          <w:sz w:val="24"/>
          <w:szCs w:val="24"/>
          <w:lang w:val="ru-RU"/>
        </w:rPr>
        <w:t xml:space="preserve">В случае обезвоживания (сильной диареи или рвоты, лихорадки или уменьшении употребления жидкости) рекомендуется временно прекратить применение метформина и обратиться за медицинской помощью. </w:t>
      </w:r>
    </w:p>
    <w:p w14:paraId="73D00760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sz w:val="24"/>
          <w:szCs w:val="24"/>
          <w:lang w:val="ru-RU"/>
        </w:rPr>
        <w:t xml:space="preserve">Если пациент получает метформин, следует с осторожностью начинать лечение средствами, которые могут остро ухудшить функцию почек (например, гипотензивными препаратами, мочегонными средствами и НПВП). </w:t>
      </w:r>
    </w:p>
    <w:p w14:paraId="0EB7E204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sz w:val="24"/>
          <w:szCs w:val="24"/>
          <w:lang w:val="ru-RU"/>
        </w:rPr>
        <w:t>Другие факторы риска возникновения лактоацидоза включают чрезмерное употребление алкоголя, печеночную недостаточность, недостаточно контролируемый сахарный диабет, кетоз, длительное голодание и любые состояния, связанные с гипоксией, а также одновременное применение с лекарственными средствами, которые могут привести к лактатацидозу (см. разделы «Противопоказания» и «Взаимодействие с другими лекарственными средствами и другие виды взаимодействий»).</w:t>
      </w:r>
    </w:p>
    <w:p w14:paraId="3F667BE9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sz w:val="24"/>
          <w:szCs w:val="24"/>
          <w:lang w:val="ru-RU"/>
        </w:rPr>
        <w:t xml:space="preserve">Пациенты и/или ухаживающие за ними лица должны быть проинформированы о риске развития лактоацидоза. </w:t>
      </w:r>
    </w:p>
    <w:p w14:paraId="59AC65EC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sz w:val="24"/>
          <w:szCs w:val="24"/>
          <w:lang w:val="ru-RU"/>
        </w:rPr>
        <w:t>Характерными признаками лактоацидоза является ацидотическая одышка, боль в животе, мышечные судороги, астения и гипотермия, в дальнейшем возможно развитие комы. В случае появления каких-либо симптомов лактоацидоза пациент должен прекратить прием метформина и немедленно обратиться к врачу.</w:t>
      </w:r>
    </w:p>
    <w:p w14:paraId="45CEE520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sz w:val="24"/>
          <w:szCs w:val="24"/>
          <w:lang w:val="ru-RU"/>
        </w:rPr>
        <w:t>Диагностические результаты лабораторных исследований - снижение pH крови (&lt; 7,35), повышение уровня лактата в сыворотке крови (&gt; 5 ммоль/л) и увеличение анионного промежутка и соотношение лактат/пируват.</w:t>
      </w:r>
    </w:p>
    <w:p w14:paraId="2D38E706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i/>
          <w:sz w:val="24"/>
          <w:szCs w:val="24"/>
          <w:lang w:val="ru-RU"/>
        </w:rPr>
        <w:t xml:space="preserve">Почечная недостаточность. </w:t>
      </w:r>
      <w:r w:rsidRPr="004E6C3B">
        <w:rPr>
          <w:sz w:val="24"/>
          <w:szCs w:val="24"/>
          <w:lang w:val="ru-RU"/>
        </w:rPr>
        <w:t>СКФ следует оценивать до начала лечения и регулярно после его завершения (см. раздел «Способ применения и дозы»). Применение метформина противопоказано пациентам с СКФ &lt; 30 мл/мин и должно быть временно приостановлено при наличии заболеваний, изменяющих функцию почек (см. раздел «Противопоказания»).</w:t>
      </w:r>
    </w:p>
    <w:p w14:paraId="7B03A851" w14:textId="77777777" w:rsidR="004E6C3B" w:rsidRPr="004E6C3B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i/>
          <w:sz w:val="24"/>
          <w:szCs w:val="24"/>
          <w:lang w:val="ru-RU"/>
        </w:rPr>
        <w:t xml:space="preserve">Сердечная функция. </w:t>
      </w:r>
      <w:r w:rsidRPr="004E6C3B">
        <w:rPr>
          <w:sz w:val="24"/>
          <w:szCs w:val="24"/>
          <w:lang w:val="ru-RU"/>
        </w:rPr>
        <w:t>Пациенты с сердечной недостаточностью имеют более высокий риск развития гипоксии и почечной недостаточности. Пациентам со стабильной хронической сердечной недостаточностью метформин можно применять при регулярном мониторинге сердечной и почечной функции. Метформин противопоказан пациентам с острой и нестабильной сердечной недостаточностью (см. раздел «Противопоказания»).</w:t>
      </w:r>
    </w:p>
    <w:p w14:paraId="565D3525" w14:textId="77777777" w:rsidR="004E6C3B" w:rsidRPr="004E6C3B" w:rsidRDefault="004E6C3B" w:rsidP="004E6C3B">
      <w:pPr>
        <w:spacing w:line="240" w:lineRule="auto"/>
        <w:rPr>
          <w:i/>
          <w:sz w:val="24"/>
          <w:szCs w:val="24"/>
          <w:lang w:val="ru-RU"/>
        </w:rPr>
      </w:pPr>
      <w:r w:rsidRPr="004E6C3B">
        <w:rPr>
          <w:i/>
          <w:sz w:val="24"/>
          <w:szCs w:val="24"/>
          <w:lang w:val="ru-RU"/>
        </w:rPr>
        <w:t>Пациенты пожилого возраста.</w:t>
      </w:r>
    </w:p>
    <w:p w14:paraId="50CCA0E3" w14:textId="77777777" w:rsidR="004E6C3B" w:rsidRPr="0069739F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69739F">
        <w:rPr>
          <w:sz w:val="24"/>
          <w:szCs w:val="24"/>
          <w:lang w:val="ru-RU"/>
        </w:rPr>
        <w:t xml:space="preserve">В связи с ограниченными данными по терапевтической эффективности для уменьшения риска возникновения сахарного диабета 2 типа или задержки его начала у пациентов в возрасте от 75 лет, </w:t>
      </w:r>
      <w:r w:rsidRPr="0069739F">
        <w:rPr>
          <w:sz w:val="24"/>
          <w:szCs w:val="24"/>
          <w:lang w:val="ru-RU"/>
        </w:rPr>
        <w:lastRenderedPageBreak/>
        <w:t>таким пациентам назначения метформина не рекомендуется.</w:t>
      </w:r>
    </w:p>
    <w:p w14:paraId="5544F323" w14:textId="77777777" w:rsidR="004E6C3B" w:rsidRPr="0069739F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i/>
          <w:sz w:val="24"/>
          <w:szCs w:val="24"/>
          <w:lang w:val="ru-RU"/>
        </w:rPr>
        <w:t xml:space="preserve">Йодсодержащие рентгеноконтрастные средства. </w:t>
      </w:r>
      <w:r w:rsidRPr="0069739F">
        <w:rPr>
          <w:sz w:val="24"/>
          <w:szCs w:val="24"/>
          <w:lang w:val="ru-RU"/>
        </w:rPr>
        <w:t>Внутрисосудистое введение йодсодержащих контрастных веществ может вызвать контрастиндуцированную нефропатию, что приводит к накоплению метформина и увеличению риска развития лактоацидоза. Пациентам следует прекратить применение метформина до или во время проведения исследования и возобновить не ранее чем через 48 часов после исследования при условии получения нормального результата функции почек (см. разделы «Способ применения и дозы» и «Взаимодействие с другими лекарственными средствами и другие виды взаимодействий» ).</w:t>
      </w:r>
    </w:p>
    <w:p w14:paraId="51307B47" w14:textId="77777777" w:rsidR="004E6C3B" w:rsidRPr="0069739F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i/>
          <w:sz w:val="24"/>
          <w:szCs w:val="24"/>
          <w:lang w:val="ru-RU"/>
        </w:rPr>
        <w:t xml:space="preserve">Хирургические вмешательства. </w:t>
      </w:r>
      <w:r w:rsidRPr="0069739F">
        <w:rPr>
          <w:sz w:val="24"/>
          <w:szCs w:val="24"/>
          <w:lang w:val="ru-RU"/>
        </w:rPr>
        <w:t xml:space="preserve">Необходимо прекратить применение </w:t>
      </w:r>
      <w:r w:rsidR="0069739F">
        <w:rPr>
          <w:sz w:val="24"/>
          <w:szCs w:val="24"/>
          <w:lang w:val="ru-RU"/>
        </w:rPr>
        <w:t>Диаформина</w:t>
      </w:r>
      <w:r w:rsidR="0069739F" w:rsidRPr="0069739F">
        <w:rPr>
          <w:sz w:val="24"/>
          <w:szCs w:val="24"/>
          <w:vertAlign w:val="superscript"/>
          <w:lang w:val="ru-RU"/>
        </w:rPr>
        <w:t>®</w:t>
      </w:r>
      <w:r w:rsidR="0069739F">
        <w:rPr>
          <w:sz w:val="24"/>
          <w:szCs w:val="24"/>
          <w:lang w:val="ru-RU"/>
        </w:rPr>
        <w:t xml:space="preserve"> SR</w:t>
      </w:r>
      <w:r w:rsidRPr="0069739F">
        <w:rPr>
          <w:sz w:val="24"/>
          <w:szCs w:val="24"/>
          <w:lang w:val="ru-RU"/>
        </w:rPr>
        <w:t xml:space="preserve"> во время хирургического вмешательства с применением общей, спинальной или эпидуральной анестезии, и возобновлять не ранее чем через 48 часов после проведения операции или восстановления перорального питания при условии получения нормального результата функции почек.</w:t>
      </w:r>
    </w:p>
    <w:p w14:paraId="4BF62C68" w14:textId="77777777" w:rsidR="004E6C3B" w:rsidRPr="0069739F" w:rsidRDefault="004E6C3B" w:rsidP="004E6C3B">
      <w:pPr>
        <w:spacing w:line="240" w:lineRule="auto"/>
        <w:rPr>
          <w:sz w:val="24"/>
          <w:szCs w:val="24"/>
          <w:lang w:val="ru-RU"/>
        </w:rPr>
      </w:pPr>
      <w:r w:rsidRPr="004E6C3B">
        <w:rPr>
          <w:i/>
          <w:sz w:val="24"/>
          <w:szCs w:val="24"/>
          <w:lang w:val="ru-RU"/>
        </w:rPr>
        <w:t xml:space="preserve">Другие меры предосторожности. </w:t>
      </w:r>
      <w:r w:rsidRPr="0069739F">
        <w:rPr>
          <w:sz w:val="24"/>
          <w:szCs w:val="24"/>
          <w:lang w:val="ru-RU"/>
        </w:rPr>
        <w:t>Пациентам необходимо соблюдать диету, равномерного приема углеводов в течение суток. Пациентам с избыточной массой тела следует продолжать придерживаться низкокалорийной диеты. Необходимо регулярно контролировать лабораторные показатели уровня глюкозы в крови.</w:t>
      </w:r>
    </w:p>
    <w:p w14:paraId="3E1274E9" w14:textId="77777777" w:rsidR="008601C4" w:rsidRPr="0069739F" w:rsidRDefault="004E6C3B" w:rsidP="004E6C3B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/>
        </w:rPr>
        <w:t xml:space="preserve">Монотерапия метформином не вызывает гипогликемии, однако следует соблюдать осторожность при одновременном применении </w:t>
      </w:r>
      <w:r w:rsidR="0069739F">
        <w:rPr>
          <w:sz w:val="24"/>
          <w:szCs w:val="24"/>
          <w:lang w:val="ru-RU"/>
        </w:rPr>
        <w:t>Диаформина</w:t>
      </w:r>
      <w:r w:rsidR="0069739F" w:rsidRPr="0069739F">
        <w:rPr>
          <w:sz w:val="24"/>
          <w:szCs w:val="24"/>
          <w:vertAlign w:val="superscript"/>
          <w:lang w:val="ru-RU"/>
        </w:rPr>
        <w:t>®</w:t>
      </w:r>
      <w:r w:rsidR="0069739F">
        <w:rPr>
          <w:sz w:val="24"/>
          <w:szCs w:val="24"/>
          <w:lang w:val="ru-RU"/>
        </w:rPr>
        <w:t xml:space="preserve"> SR</w:t>
      </w:r>
      <w:r w:rsidRPr="0069739F">
        <w:rPr>
          <w:sz w:val="24"/>
          <w:szCs w:val="24"/>
          <w:lang w:val="ru-RU"/>
        </w:rPr>
        <w:t xml:space="preserve"> с инсулином или другими пероральными гипогликемическими средствами (например, производными сульфонилмочевины или меглитинидами). Возможно наличие фрагментов оболочки таблеток в фекалиях. Это является нормальным явлением и не имеет клинического значения</w:t>
      </w:r>
      <w:r w:rsidR="008601C4" w:rsidRPr="0069739F">
        <w:rPr>
          <w:sz w:val="24"/>
          <w:szCs w:val="24"/>
          <w:lang w:val="ru-RU" w:eastAsia="uk-UA"/>
        </w:rPr>
        <w:t>.</w:t>
      </w:r>
    </w:p>
    <w:p w14:paraId="651BF465" w14:textId="77777777" w:rsidR="00D01BE8" w:rsidRPr="006414B0" w:rsidRDefault="00D01BE8" w:rsidP="009B236C">
      <w:pPr>
        <w:spacing w:line="240" w:lineRule="auto"/>
        <w:rPr>
          <w:sz w:val="24"/>
          <w:szCs w:val="24"/>
          <w:lang w:val="ru-RU"/>
        </w:rPr>
      </w:pPr>
    </w:p>
    <w:p w14:paraId="7C7BBA27" w14:textId="77777777" w:rsidR="004E662B" w:rsidRPr="006414B0" w:rsidRDefault="004E662B" w:rsidP="009B236C">
      <w:pPr>
        <w:widowControl/>
        <w:spacing w:line="240" w:lineRule="auto"/>
        <w:rPr>
          <w:i/>
          <w:sz w:val="24"/>
          <w:szCs w:val="24"/>
          <w:lang w:val="ru-RU"/>
        </w:rPr>
      </w:pPr>
      <w:r w:rsidRPr="006414B0">
        <w:rPr>
          <w:i/>
          <w:sz w:val="24"/>
          <w:szCs w:val="24"/>
          <w:lang w:val="ru-RU"/>
        </w:rPr>
        <w:t>Применение в период беременности или кормления грудью.</w:t>
      </w:r>
    </w:p>
    <w:p w14:paraId="31A166DA" w14:textId="77777777" w:rsidR="007B5217" w:rsidRPr="006414B0" w:rsidRDefault="007B5217" w:rsidP="009B236C">
      <w:pPr>
        <w:widowControl/>
        <w:spacing w:line="240" w:lineRule="auto"/>
        <w:rPr>
          <w:i/>
          <w:sz w:val="24"/>
          <w:szCs w:val="24"/>
          <w:lang w:val="ru-RU"/>
        </w:rPr>
      </w:pPr>
      <w:r w:rsidRPr="006414B0">
        <w:rPr>
          <w:i/>
          <w:sz w:val="24"/>
          <w:szCs w:val="24"/>
          <w:lang w:val="ru-RU"/>
        </w:rPr>
        <w:t>Беременность</w:t>
      </w:r>
    </w:p>
    <w:p w14:paraId="17F37644" w14:textId="77777777" w:rsidR="0069739F" w:rsidRPr="0069739F" w:rsidRDefault="0069739F" w:rsidP="0069739F">
      <w:pPr>
        <w:spacing w:line="240" w:lineRule="auto"/>
        <w:rPr>
          <w:spacing w:val="2"/>
          <w:sz w:val="24"/>
          <w:szCs w:val="24"/>
          <w:lang w:val="ru-RU" w:eastAsia="uk-UA"/>
        </w:rPr>
      </w:pPr>
      <w:r w:rsidRPr="0069739F">
        <w:rPr>
          <w:spacing w:val="2"/>
          <w:sz w:val="24"/>
          <w:szCs w:val="24"/>
          <w:lang w:val="ru-RU" w:eastAsia="uk-UA"/>
        </w:rPr>
        <w:t>Неконтролируемый диабет во время беременности (гестационный или постоянный) увеличивает риск развития врожденных аномалий и перинатальной летальности. Есть ограниченные данные применения метформина беременным женщинам, которые не указывают на повышенный риск врожденных аномалий.</w:t>
      </w:r>
    </w:p>
    <w:p w14:paraId="720CC39A" w14:textId="77777777" w:rsidR="0069739F" w:rsidRPr="0069739F" w:rsidRDefault="0069739F" w:rsidP="0069739F">
      <w:pPr>
        <w:spacing w:line="240" w:lineRule="auto"/>
        <w:rPr>
          <w:spacing w:val="2"/>
          <w:sz w:val="24"/>
          <w:szCs w:val="24"/>
          <w:lang w:val="ru-RU" w:eastAsia="uk-UA"/>
        </w:rPr>
      </w:pPr>
      <w:r w:rsidRPr="0069739F">
        <w:rPr>
          <w:spacing w:val="2"/>
          <w:sz w:val="24"/>
          <w:szCs w:val="24"/>
          <w:lang w:val="ru-RU" w:eastAsia="uk-UA"/>
        </w:rPr>
        <w:t>Доклинические исследования не выявили негативного влияния на беременность, развитие эмбриона или плода, роды и послеродовое развитие. В случае планирования беременности, а также в случае наступления беременности рекомендуется не применять метформин для лечения нарушений гликемического контроля, или диабета. Для лечения диабета рекомендуется применять инсулин для поддержания уровня глюкозы крови максимально приближенного к нормальному для уменьшения риска развития пороков плода.</w:t>
      </w:r>
    </w:p>
    <w:p w14:paraId="6EB8CDEC" w14:textId="77777777" w:rsidR="0069739F" w:rsidRPr="0069739F" w:rsidRDefault="0069739F" w:rsidP="0069739F">
      <w:pPr>
        <w:spacing w:line="240" w:lineRule="auto"/>
        <w:rPr>
          <w:i/>
          <w:spacing w:val="2"/>
          <w:sz w:val="24"/>
          <w:szCs w:val="24"/>
          <w:lang w:val="ru-RU" w:eastAsia="uk-UA"/>
        </w:rPr>
      </w:pPr>
      <w:r w:rsidRPr="0069739F">
        <w:rPr>
          <w:i/>
          <w:spacing w:val="2"/>
          <w:sz w:val="24"/>
          <w:szCs w:val="24"/>
          <w:lang w:val="ru-RU" w:eastAsia="uk-UA"/>
        </w:rPr>
        <w:t xml:space="preserve">Кормления грудью. </w:t>
      </w:r>
      <w:r w:rsidRPr="0069739F">
        <w:rPr>
          <w:spacing w:val="2"/>
          <w:sz w:val="24"/>
          <w:szCs w:val="24"/>
          <w:lang w:val="ru-RU" w:eastAsia="uk-UA"/>
        </w:rPr>
        <w:t xml:space="preserve">Метформин экскретируется в грудное молоко, но </w:t>
      </w:r>
      <w:r w:rsidRPr="0069739F">
        <w:rPr>
          <w:bCs/>
          <w:spacing w:val="2"/>
          <w:sz w:val="24"/>
          <w:szCs w:val="24"/>
          <w:lang w:val="ru-RU" w:eastAsia="uk-UA"/>
        </w:rPr>
        <w:t xml:space="preserve">у новорожденных/младенцев, находившихся на грудном вскармливании, побочные эффекты не наблюдались. Однако, поскольку </w:t>
      </w:r>
      <w:r w:rsidRPr="0069739F">
        <w:rPr>
          <w:spacing w:val="2"/>
          <w:sz w:val="24"/>
          <w:szCs w:val="24"/>
          <w:lang w:val="ru-RU" w:eastAsia="uk-UA"/>
        </w:rPr>
        <w:t>недостаточно данных о безопасности применения препарата, кормление грудью не рекомендуется в течение терапии метформином. Решение о прекращении кормления грудью необходимо принимать с учетом преимуществ грудного кормления и потенциального риска побочных эффектов для ребенка.</w:t>
      </w:r>
    </w:p>
    <w:p w14:paraId="42C0D4FD" w14:textId="77777777" w:rsidR="00E450CA" w:rsidRPr="006414B0" w:rsidRDefault="0069739F" w:rsidP="0069739F">
      <w:pPr>
        <w:spacing w:line="240" w:lineRule="auto"/>
        <w:rPr>
          <w:spacing w:val="2"/>
          <w:sz w:val="24"/>
          <w:szCs w:val="24"/>
          <w:lang w:val="ru-RU" w:eastAsia="uk-UA"/>
        </w:rPr>
      </w:pPr>
      <w:r w:rsidRPr="0069739F">
        <w:rPr>
          <w:i/>
          <w:spacing w:val="2"/>
          <w:sz w:val="24"/>
          <w:szCs w:val="24"/>
          <w:lang w:val="ru-RU" w:eastAsia="uk-UA"/>
        </w:rPr>
        <w:t>Фертильность</w:t>
      </w:r>
      <w:r w:rsidRPr="0069739F">
        <w:rPr>
          <w:spacing w:val="2"/>
          <w:sz w:val="24"/>
          <w:szCs w:val="24"/>
          <w:lang w:val="ru-RU" w:eastAsia="uk-UA"/>
        </w:rPr>
        <w:t>. Метформин не влиял на фертильность животных при применении в дозах 600 мг/кг/сутки, что почти в 3 раза превышает максимальную рекомендованную суточную дозу для человека из расчета на площадь поверхности тела</w:t>
      </w:r>
      <w:r w:rsidR="00E450CA" w:rsidRPr="006414B0">
        <w:rPr>
          <w:sz w:val="24"/>
          <w:szCs w:val="24"/>
          <w:lang w:val="ru-RU" w:eastAsia="uk-UA"/>
        </w:rPr>
        <w:t>.</w:t>
      </w:r>
      <w:bookmarkStart w:id="0" w:name="ForPregnant"/>
    </w:p>
    <w:bookmarkEnd w:id="0"/>
    <w:p w14:paraId="7AB7CA4B" w14:textId="77777777" w:rsidR="00E450CA" w:rsidRPr="006414B0" w:rsidRDefault="00E450CA" w:rsidP="009B236C">
      <w:pPr>
        <w:spacing w:line="240" w:lineRule="auto"/>
        <w:rPr>
          <w:b/>
          <w:i/>
          <w:sz w:val="24"/>
          <w:szCs w:val="24"/>
          <w:lang w:val="ru-RU" w:eastAsia="uk-UA"/>
        </w:rPr>
      </w:pPr>
    </w:p>
    <w:p w14:paraId="77D89E06" w14:textId="77777777" w:rsidR="004E662B" w:rsidRPr="006414B0" w:rsidRDefault="004E662B" w:rsidP="009B236C">
      <w:pPr>
        <w:spacing w:line="240" w:lineRule="auto"/>
        <w:rPr>
          <w:sz w:val="24"/>
          <w:szCs w:val="24"/>
          <w:lang w:val="ru-RU"/>
        </w:rPr>
      </w:pPr>
      <w:r w:rsidRPr="006414B0">
        <w:rPr>
          <w:i/>
          <w:sz w:val="24"/>
          <w:szCs w:val="24"/>
          <w:lang w:val="ru-RU"/>
        </w:rPr>
        <w:t>Способность влиять на скорость реакции при управлении автотранспортом или другими механизмами.</w:t>
      </w:r>
    </w:p>
    <w:p w14:paraId="4C3332E8" w14:textId="77777777" w:rsidR="0069739F" w:rsidRPr="0069739F" w:rsidRDefault="0069739F" w:rsidP="0069739F">
      <w:pPr>
        <w:spacing w:line="240" w:lineRule="auto"/>
        <w:rPr>
          <w:bCs/>
          <w:sz w:val="24"/>
          <w:szCs w:val="24"/>
          <w:lang w:val="ru-RU" w:eastAsia="uk-UA"/>
        </w:rPr>
      </w:pPr>
      <w:r w:rsidRPr="0069739F">
        <w:rPr>
          <w:bCs/>
          <w:sz w:val="24"/>
          <w:szCs w:val="24"/>
          <w:lang w:val="ru-RU" w:eastAsia="uk-UA"/>
        </w:rPr>
        <w:t>Диаформин</w:t>
      </w:r>
      <w:r w:rsidRPr="0069739F">
        <w:rPr>
          <w:bCs/>
          <w:sz w:val="24"/>
          <w:szCs w:val="24"/>
          <w:vertAlign w:val="superscript"/>
          <w:lang w:val="ru-RU" w:eastAsia="uk-UA"/>
        </w:rPr>
        <w:t>®</w:t>
      </w:r>
      <w:r w:rsidRPr="0069739F">
        <w:rPr>
          <w:bCs/>
          <w:sz w:val="24"/>
          <w:szCs w:val="24"/>
          <w:lang w:val="ru-RU" w:eastAsia="uk-UA"/>
        </w:rPr>
        <w:t xml:space="preserve"> SR не влияет на скорость реакции при управлении автотранспортом или работе с другими механизмами, поскольку монотерапия препаратом не вызывает гипогликемии.</w:t>
      </w:r>
    </w:p>
    <w:p w14:paraId="6334C951" w14:textId="77777777" w:rsidR="00E450CA" w:rsidRPr="006414B0" w:rsidRDefault="0069739F" w:rsidP="0069739F">
      <w:pPr>
        <w:spacing w:line="240" w:lineRule="auto"/>
        <w:rPr>
          <w:bCs/>
          <w:sz w:val="24"/>
          <w:szCs w:val="24"/>
          <w:lang w:val="ru-RU" w:eastAsia="uk-UA"/>
        </w:rPr>
      </w:pPr>
      <w:r w:rsidRPr="0069739F">
        <w:rPr>
          <w:bCs/>
          <w:sz w:val="24"/>
          <w:szCs w:val="24"/>
          <w:lang w:val="ru-RU" w:eastAsia="uk-UA"/>
        </w:rPr>
        <w:t>Однако, следует с осторожностью применять метформин в комбинации с другими гипогликемическими средствами (производные сульфонилмочевины, инсулин, меглитиниды) в связи с риском развития гипогликемии</w:t>
      </w:r>
      <w:r w:rsidR="00E450CA" w:rsidRPr="006414B0">
        <w:rPr>
          <w:bCs/>
          <w:sz w:val="24"/>
          <w:szCs w:val="24"/>
          <w:lang w:val="ru-RU" w:eastAsia="uk-UA"/>
        </w:rPr>
        <w:t>.</w:t>
      </w:r>
    </w:p>
    <w:p w14:paraId="7B1C1CDC" w14:textId="77777777" w:rsidR="00FC361C" w:rsidRPr="006414B0" w:rsidRDefault="00FC361C" w:rsidP="009B236C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 w:eastAsia="uk-UA"/>
        </w:rPr>
      </w:pPr>
    </w:p>
    <w:p w14:paraId="008C2E78" w14:textId="77777777" w:rsidR="00965E39" w:rsidRPr="006414B0" w:rsidRDefault="00965E39" w:rsidP="009B236C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 w:eastAsia="en-US"/>
        </w:rPr>
      </w:pPr>
      <w:r w:rsidRPr="006414B0">
        <w:rPr>
          <w:b/>
          <w:i/>
          <w:sz w:val="24"/>
          <w:szCs w:val="24"/>
          <w:lang w:val="ru-RU" w:eastAsia="en-US"/>
        </w:rPr>
        <w:t>Способ применения и дозы.</w:t>
      </w:r>
    </w:p>
    <w:p w14:paraId="1CDF5F87" w14:textId="77777777" w:rsidR="004E393A" w:rsidRPr="006414B0" w:rsidRDefault="004E393A" w:rsidP="009B236C">
      <w:pPr>
        <w:widowControl/>
        <w:spacing w:line="240" w:lineRule="auto"/>
        <w:rPr>
          <w:sz w:val="24"/>
          <w:szCs w:val="24"/>
          <w:lang w:val="ru-RU"/>
        </w:rPr>
      </w:pPr>
      <w:r w:rsidRPr="006414B0">
        <w:rPr>
          <w:sz w:val="24"/>
          <w:szCs w:val="24"/>
          <w:lang w:val="ru-RU"/>
        </w:rPr>
        <w:t>Таблетки следует глотать целиком, не разжевывая.</w:t>
      </w:r>
    </w:p>
    <w:p w14:paraId="40607EC8" w14:textId="77777777" w:rsidR="00E635B4" w:rsidRPr="006414B0" w:rsidRDefault="00E635B4" w:rsidP="00E635B4">
      <w:pPr>
        <w:spacing w:line="240" w:lineRule="auto"/>
        <w:ind w:right="264"/>
        <w:rPr>
          <w:i/>
          <w:sz w:val="24"/>
          <w:szCs w:val="24"/>
          <w:lang w:val="ru-RU" w:eastAsia="uk-UA"/>
        </w:rPr>
      </w:pPr>
      <w:r w:rsidRPr="006414B0">
        <w:rPr>
          <w:i/>
          <w:sz w:val="24"/>
          <w:szCs w:val="24"/>
          <w:lang w:val="ru-RU" w:eastAsia="uk-UA"/>
        </w:rPr>
        <w:t>Взрослые пациенты с нормальной функцией почек (</w:t>
      </w:r>
      <w:r w:rsidR="0069739F">
        <w:rPr>
          <w:i/>
          <w:sz w:val="24"/>
          <w:szCs w:val="24"/>
          <w:lang w:val="ru-RU" w:eastAsia="uk-UA"/>
        </w:rPr>
        <w:t>СКФ</w:t>
      </w:r>
      <w:r w:rsidRPr="006414B0">
        <w:rPr>
          <w:i/>
          <w:sz w:val="24"/>
          <w:szCs w:val="24"/>
          <w:lang w:val="ru-RU" w:eastAsia="uk-UA"/>
        </w:rPr>
        <w:t xml:space="preserve"> ≥ 90 мл/мин) </w:t>
      </w:r>
    </w:p>
    <w:p w14:paraId="50ECA199" w14:textId="77777777" w:rsidR="00E635B4" w:rsidRPr="006414B0" w:rsidRDefault="00E635B4" w:rsidP="00E635B4">
      <w:pPr>
        <w:spacing w:line="240" w:lineRule="auto"/>
        <w:rPr>
          <w:sz w:val="24"/>
          <w:szCs w:val="24"/>
          <w:u w:val="single"/>
          <w:lang w:val="ru-RU" w:eastAsia="uk-UA"/>
        </w:rPr>
      </w:pPr>
      <w:r w:rsidRPr="006414B0">
        <w:rPr>
          <w:sz w:val="24"/>
          <w:szCs w:val="24"/>
          <w:u w:val="single"/>
          <w:lang w:val="ru-RU" w:eastAsia="uk-UA"/>
        </w:rPr>
        <w:t>Снижение риска или задержка начала сахарного диабета 2 типа.</w:t>
      </w:r>
    </w:p>
    <w:p w14:paraId="21005223" w14:textId="77777777" w:rsidR="00E635B4" w:rsidRPr="006414B0" w:rsidRDefault="00E635B4" w:rsidP="00E635B4">
      <w:pPr>
        <w:spacing w:line="240" w:lineRule="auto"/>
        <w:rPr>
          <w:sz w:val="24"/>
          <w:szCs w:val="24"/>
          <w:u w:val="single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 xml:space="preserve">Метформин следует назначать только тогда, когда изменения в образе жизни в течение 3–6 месяцев </w:t>
      </w:r>
      <w:r w:rsidRPr="006414B0">
        <w:rPr>
          <w:sz w:val="24"/>
          <w:szCs w:val="24"/>
          <w:lang w:val="ru-RU" w:eastAsia="uk-UA"/>
        </w:rPr>
        <w:lastRenderedPageBreak/>
        <w:t>не обеспечивают адекватного гликемического контроля.</w:t>
      </w:r>
    </w:p>
    <w:p w14:paraId="245BBD3E" w14:textId="77777777" w:rsidR="00E635B4" w:rsidRPr="006414B0" w:rsidRDefault="00E635B4" w:rsidP="00E635B4">
      <w:pPr>
        <w:spacing w:line="240" w:lineRule="auto"/>
        <w:rPr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 xml:space="preserve">Лечение следует начинать с 1 таблетки препарата </w:t>
      </w:r>
      <w:r w:rsidR="0069739F">
        <w:rPr>
          <w:sz w:val="24"/>
          <w:szCs w:val="24"/>
          <w:lang w:val="ru-RU" w:eastAsia="uk-UA"/>
        </w:rPr>
        <w:t>Диаформин</w:t>
      </w:r>
      <w:r w:rsidR="0069739F" w:rsidRPr="0069739F">
        <w:rPr>
          <w:sz w:val="24"/>
          <w:szCs w:val="24"/>
          <w:vertAlign w:val="superscript"/>
          <w:lang w:val="ru-RU" w:eastAsia="uk-UA"/>
        </w:rPr>
        <w:t>®</w:t>
      </w:r>
      <w:r w:rsidR="0069739F">
        <w:rPr>
          <w:sz w:val="24"/>
          <w:szCs w:val="24"/>
          <w:lang w:val="ru-RU" w:eastAsia="uk-UA"/>
        </w:rPr>
        <w:t xml:space="preserve"> SR </w:t>
      </w:r>
      <w:r w:rsidRPr="006414B0">
        <w:rPr>
          <w:sz w:val="24"/>
          <w:szCs w:val="24"/>
          <w:lang w:val="ru-RU" w:eastAsia="uk-UA"/>
        </w:rPr>
        <w:t>500 мг 1 раз в сутки во время еды вечером.</w:t>
      </w:r>
    </w:p>
    <w:p w14:paraId="6E77B3A9" w14:textId="77777777" w:rsidR="00E635B4" w:rsidRPr="006414B0" w:rsidRDefault="00E635B4" w:rsidP="00E635B4">
      <w:pPr>
        <w:spacing w:line="240" w:lineRule="auto"/>
        <w:rPr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>Через 10–15 дней проведенного лечения дозу следует откорректировать в соответствии с результатами измерений уровня глюкозы в крови (значение ОГТТ (оральный глюкозотолерантный тест) и/или содержание глюкозы в плазме крови натощак и/или HbA1c должны быть в норме). Медленное увеличение дозы может улучшить переносимость со стороны пищеварительного тракта. Максимальная рекомендуемая доза составляет 2000 мг 1 раз в день во время еды вечером.</w:t>
      </w:r>
    </w:p>
    <w:p w14:paraId="013446D2" w14:textId="77777777" w:rsidR="00E635B4" w:rsidRPr="006414B0" w:rsidRDefault="00E635B4" w:rsidP="00E635B4">
      <w:pPr>
        <w:spacing w:line="240" w:lineRule="auto"/>
        <w:rPr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>Рекомендуется регулярно контролировать (каждые 3–6 месяцев) гликемический статус (значение ОГТТ и/или содержания глюкозы в плазме крови натощак и/или HbA1c), а также факторы риска для принятия решения о необходимости продления, изменения или прекращения лечения.</w:t>
      </w:r>
    </w:p>
    <w:p w14:paraId="4D8D9378" w14:textId="77777777" w:rsidR="00E635B4" w:rsidRPr="006414B0" w:rsidRDefault="00E635B4" w:rsidP="00E635B4">
      <w:pPr>
        <w:spacing w:line="240" w:lineRule="auto"/>
        <w:rPr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>Также необходимо проводить повторную оценку лечения, если пациент впоследствии внедряет улучшение питания и/или физические нагрузки или если изменения состояния здоровья пациента позволяют изменить образ жизни.</w:t>
      </w:r>
    </w:p>
    <w:p w14:paraId="4B5F50BD" w14:textId="77777777" w:rsidR="004E393A" w:rsidRPr="006414B0" w:rsidRDefault="004E393A" w:rsidP="00E635B4">
      <w:pPr>
        <w:widowControl/>
        <w:autoSpaceDE/>
        <w:autoSpaceDN/>
        <w:adjustRightInd/>
        <w:spacing w:line="240" w:lineRule="auto"/>
        <w:ind w:right="-39"/>
        <w:rPr>
          <w:rFonts w:eastAsia="Calibri"/>
          <w:i/>
          <w:sz w:val="24"/>
          <w:szCs w:val="24"/>
          <w:lang w:val="ru-RU" w:eastAsia="uk-UA"/>
        </w:rPr>
      </w:pPr>
      <w:r w:rsidRPr="006414B0">
        <w:rPr>
          <w:rFonts w:eastAsia="Calibri"/>
          <w:i/>
          <w:sz w:val="24"/>
          <w:szCs w:val="24"/>
          <w:lang w:val="ru-RU" w:eastAsia="uk-UA"/>
        </w:rPr>
        <w:t>Монотерапия или комбинированная терапия в сочетании с другими пероральными гипогликемическими средствами.</w:t>
      </w:r>
    </w:p>
    <w:p w14:paraId="22A9486A" w14:textId="77777777" w:rsidR="004E393A" w:rsidRPr="006414B0" w:rsidRDefault="004E393A" w:rsidP="009B236C">
      <w:pPr>
        <w:widowControl/>
        <w:autoSpaceDE/>
        <w:autoSpaceDN/>
        <w:adjustRightInd/>
        <w:spacing w:line="240" w:lineRule="auto"/>
        <w:ind w:right="264"/>
        <w:rPr>
          <w:rFonts w:eastAsia="Calibri"/>
          <w:sz w:val="24"/>
          <w:szCs w:val="24"/>
          <w:lang w:val="ru-RU" w:eastAsia="uk-UA"/>
        </w:rPr>
      </w:pPr>
      <w:r w:rsidRPr="006414B0">
        <w:rPr>
          <w:rFonts w:eastAsia="Calibri"/>
          <w:sz w:val="24"/>
          <w:szCs w:val="24"/>
          <w:lang w:val="ru-RU" w:eastAsia="uk-UA"/>
        </w:rPr>
        <w:t>Рекомендуемая начальная доза – 500 мг/сут.</w:t>
      </w:r>
    </w:p>
    <w:p w14:paraId="534BD79C" w14:textId="77777777" w:rsidR="004E393A" w:rsidRPr="006414B0" w:rsidRDefault="004E393A" w:rsidP="009B236C">
      <w:pPr>
        <w:widowControl/>
        <w:overflowPunct w:val="0"/>
        <w:spacing w:line="240" w:lineRule="auto"/>
        <w:textAlignment w:val="baseline"/>
        <w:rPr>
          <w:rFonts w:eastAsia="Calibri"/>
          <w:sz w:val="24"/>
          <w:szCs w:val="24"/>
          <w:lang w:val="ru-RU" w:eastAsia="uk-UA"/>
        </w:rPr>
      </w:pPr>
      <w:r w:rsidRPr="006414B0">
        <w:rPr>
          <w:rFonts w:eastAsia="Calibri"/>
          <w:sz w:val="24"/>
          <w:szCs w:val="24"/>
          <w:lang w:val="ru-RU" w:eastAsia="uk-UA"/>
        </w:rPr>
        <w:t>Через 10-15 дней проведенного лечения дозу следует откорректировать в соответствии с результатами измерений уровня глюкозы в крови. Медленное увеличение дозы способствует снижению побочных эффектов со стороны пищеварительного тракта. Максимальная рекомендуемая доза составляет 2000 мг/сут.</w:t>
      </w:r>
    </w:p>
    <w:p w14:paraId="1F9B51FE" w14:textId="77777777" w:rsidR="00E635B4" w:rsidRPr="006414B0" w:rsidRDefault="0069739F" w:rsidP="009B236C">
      <w:pPr>
        <w:widowControl/>
        <w:overflowPunct w:val="0"/>
        <w:spacing w:line="240" w:lineRule="auto"/>
        <w:textAlignment w:val="baseline"/>
        <w:rPr>
          <w:rFonts w:eastAsia="Calibri"/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>Диаформин</w:t>
      </w:r>
      <w:r w:rsidRPr="0069739F">
        <w:rPr>
          <w:sz w:val="24"/>
          <w:szCs w:val="24"/>
          <w:vertAlign w:val="superscript"/>
          <w:lang w:val="ru-RU" w:eastAsia="uk-UA"/>
        </w:rPr>
        <w:t>®</w:t>
      </w:r>
      <w:r>
        <w:rPr>
          <w:sz w:val="24"/>
          <w:szCs w:val="24"/>
          <w:lang w:val="ru-RU" w:eastAsia="uk-UA"/>
        </w:rPr>
        <w:t xml:space="preserve"> SR </w:t>
      </w:r>
      <w:r w:rsidR="00E635B4" w:rsidRPr="006414B0">
        <w:rPr>
          <w:sz w:val="24"/>
          <w:szCs w:val="24"/>
          <w:lang w:val="ru-RU" w:eastAsia="uk-UA"/>
        </w:rPr>
        <w:t xml:space="preserve">применять 1 раз в сутки во время еды вечером, увеличивая на 500 мг каждые 10-15 дней до 2000 мг. Если необходимого уровня гликемии нельзя достичь при применении </w:t>
      </w:r>
      <w:r>
        <w:rPr>
          <w:sz w:val="24"/>
          <w:szCs w:val="24"/>
          <w:lang w:val="ru-RU" w:eastAsia="uk-UA"/>
        </w:rPr>
        <w:t>Диаформина</w:t>
      </w:r>
      <w:r w:rsidRPr="0069739F">
        <w:rPr>
          <w:sz w:val="24"/>
          <w:szCs w:val="24"/>
          <w:vertAlign w:val="superscript"/>
          <w:lang w:val="ru-RU" w:eastAsia="uk-UA"/>
        </w:rPr>
        <w:t>®</w:t>
      </w:r>
      <w:r>
        <w:rPr>
          <w:sz w:val="24"/>
          <w:szCs w:val="24"/>
          <w:lang w:val="ru-RU" w:eastAsia="uk-UA"/>
        </w:rPr>
        <w:t xml:space="preserve"> SR </w:t>
      </w:r>
      <w:r w:rsidR="00E635B4" w:rsidRPr="006414B0">
        <w:rPr>
          <w:sz w:val="24"/>
          <w:szCs w:val="24"/>
          <w:lang w:val="ru-RU" w:eastAsia="uk-UA"/>
        </w:rPr>
        <w:t xml:space="preserve">в максимальной дозе 2000 мг, которую пациент принимает 1 раз в сутки, пациенту следует применять </w:t>
      </w:r>
      <w:r>
        <w:rPr>
          <w:sz w:val="24"/>
          <w:szCs w:val="24"/>
          <w:lang w:val="ru-RU" w:eastAsia="uk-UA"/>
        </w:rPr>
        <w:t>Диаформин</w:t>
      </w:r>
      <w:r w:rsidRPr="0069739F">
        <w:rPr>
          <w:sz w:val="24"/>
          <w:szCs w:val="24"/>
          <w:vertAlign w:val="superscript"/>
          <w:lang w:val="ru-RU" w:eastAsia="uk-UA"/>
        </w:rPr>
        <w:t>®</w:t>
      </w:r>
      <w:r>
        <w:rPr>
          <w:sz w:val="24"/>
          <w:szCs w:val="24"/>
          <w:lang w:val="ru-RU" w:eastAsia="uk-UA"/>
        </w:rPr>
        <w:t xml:space="preserve"> SR </w:t>
      </w:r>
      <w:r w:rsidR="00E635B4" w:rsidRPr="006414B0">
        <w:rPr>
          <w:sz w:val="24"/>
          <w:szCs w:val="24"/>
          <w:lang w:val="ru-RU" w:eastAsia="uk-UA"/>
        </w:rPr>
        <w:t>в дозе 1000 мг 2 раза в сутки во время еды. Если необходимый уровень гликемии не достигнут, можно применять таблетки Диаформин</w:t>
      </w:r>
      <w:r w:rsidRPr="0069739F">
        <w:rPr>
          <w:sz w:val="24"/>
          <w:szCs w:val="24"/>
          <w:vertAlign w:val="superscript"/>
          <w:lang w:val="ru-RU" w:eastAsia="uk-UA"/>
        </w:rPr>
        <w:t>®</w:t>
      </w:r>
      <w:r w:rsidR="00E635B4" w:rsidRPr="006414B0">
        <w:rPr>
          <w:sz w:val="24"/>
          <w:szCs w:val="24"/>
          <w:lang w:val="ru-RU" w:eastAsia="uk-UA"/>
        </w:rPr>
        <w:t xml:space="preserve"> в максимальной рекомендуемой дозе 3000 мг/сут.</w:t>
      </w:r>
    </w:p>
    <w:p w14:paraId="24A53A58" w14:textId="77777777" w:rsidR="00376B43" w:rsidRPr="006414B0" w:rsidRDefault="00376B43" w:rsidP="009B236C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 xml:space="preserve">Доза </w:t>
      </w:r>
      <w:r w:rsidR="0069739F">
        <w:rPr>
          <w:sz w:val="24"/>
          <w:szCs w:val="24"/>
          <w:lang w:val="ru-RU" w:eastAsia="uk-UA"/>
        </w:rPr>
        <w:t>Диаформин</w:t>
      </w:r>
      <w:r w:rsidR="0069739F" w:rsidRPr="0069739F">
        <w:rPr>
          <w:sz w:val="24"/>
          <w:szCs w:val="24"/>
          <w:vertAlign w:val="superscript"/>
          <w:lang w:val="ru-RU" w:eastAsia="uk-UA"/>
        </w:rPr>
        <w:t>®</w:t>
      </w:r>
      <w:r w:rsidR="0069739F">
        <w:rPr>
          <w:sz w:val="24"/>
          <w:szCs w:val="24"/>
          <w:lang w:val="ru-RU" w:eastAsia="uk-UA"/>
        </w:rPr>
        <w:t xml:space="preserve"> SR </w:t>
      </w:r>
      <w:r w:rsidRPr="006414B0">
        <w:rPr>
          <w:sz w:val="24"/>
          <w:szCs w:val="24"/>
          <w:lang w:val="ru-RU" w:eastAsia="uk-UA"/>
        </w:rPr>
        <w:t xml:space="preserve">должна быть эквивалентна суточной дозе метформина (пролонгированного или немедленного высвобождения) до максимальной дозы 2000 мг во время еды вечером. </w:t>
      </w:r>
    </w:p>
    <w:p w14:paraId="71BBF6DE" w14:textId="77777777" w:rsidR="004E393A" w:rsidRPr="006414B0" w:rsidRDefault="004E393A" w:rsidP="009B236C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val="ru-RU" w:eastAsia="uk-UA"/>
        </w:rPr>
      </w:pPr>
      <w:r w:rsidRPr="006414B0">
        <w:rPr>
          <w:rFonts w:eastAsia="Calibri"/>
          <w:i/>
          <w:sz w:val="24"/>
          <w:szCs w:val="24"/>
          <w:lang w:val="ru-RU" w:eastAsia="uk-UA"/>
        </w:rPr>
        <w:t>Комбинированная терапия с инсулином</w:t>
      </w:r>
      <w:r w:rsidRPr="006414B0">
        <w:rPr>
          <w:rFonts w:eastAsia="Calibri"/>
          <w:sz w:val="24"/>
          <w:szCs w:val="24"/>
          <w:lang w:val="ru-RU" w:eastAsia="uk-UA"/>
        </w:rPr>
        <w:t>.</w:t>
      </w:r>
    </w:p>
    <w:p w14:paraId="52FA85A1" w14:textId="77777777" w:rsidR="00376B43" w:rsidRPr="006414B0" w:rsidRDefault="004E393A" w:rsidP="009B236C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val="ru-RU" w:eastAsia="uk-UA"/>
        </w:rPr>
      </w:pPr>
      <w:r w:rsidRPr="006414B0">
        <w:rPr>
          <w:rFonts w:eastAsia="Calibri"/>
          <w:sz w:val="24"/>
          <w:szCs w:val="24"/>
          <w:lang w:val="ru-RU" w:eastAsia="uk-UA"/>
        </w:rPr>
        <w:t>Для достижения лучшего контроля уровня глюкозы в крови метформин и инсулин можно применять в виде комбинированной терапии. Обычно начальная доза препарата Диаформин</w:t>
      </w:r>
      <w:r w:rsidRPr="0069739F">
        <w:rPr>
          <w:rFonts w:eastAsia="Calibri"/>
          <w:sz w:val="24"/>
          <w:szCs w:val="24"/>
          <w:vertAlign w:val="superscript"/>
          <w:lang w:val="ru-RU" w:eastAsia="uk-UA"/>
        </w:rPr>
        <w:t>®</w:t>
      </w:r>
      <w:r w:rsidRPr="006414B0">
        <w:rPr>
          <w:rFonts w:eastAsia="Calibri"/>
          <w:sz w:val="24"/>
          <w:szCs w:val="24"/>
          <w:lang w:val="ru-RU" w:eastAsia="uk-UA"/>
        </w:rPr>
        <w:t xml:space="preserve"> SR составляет 500 мг/сут во время приема пищи вечером, тогда как дозу инсулина необходимо подбирать в соответствии с результатами измерения уровня глюкозы в крови.</w:t>
      </w:r>
    </w:p>
    <w:p w14:paraId="6FE54960" w14:textId="77777777" w:rsidR="004E393A" w:rsidRPr="006414B0" w:rsidRDefault="00376B43" w:rsidP="009B236C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val="ru-RU" w:eastAsia="uk-UA"/>
        </w:rPr>
      </w:pPr>
      <w:r w:rsidRPr="006414B0">
        <w:rPr>
          <w:rFonts w:eastAsia="Calibri"/>
          <w:sz w:val="24"/>
          <w:szCs w:val="24"/>
          <w:lang w:val="ru-RU" w:eastAsia="uk-UA"/>
        </w:rPr>
        <w:t>Для пациентов, уже получавших метформин и инсулин в комбинированной терапии, доза препарата Диаформин</w:t>
      </w:r>
      <w:r w:rsidRPr="0069739F">
        <w:rPr>
          <w:rFonts w:eastAsia="Calibri"/>
          <w:sz w:val="24"/>
          <w:szCs w:val="24"/>
          <w:vertAlign w:val="superscript"/>
          <w:lang w:val="ru-RU" w:eastAsia="uk-UA"/>
        </w:rPr>
        <w:t>®</w:t>
      </w:r>
      <w:r w:rsidRPr="006414B0">
        <w:rPr>
          <w:rFonts w:eastAsia="Calibri"/>
          <w:sz w:val="24"/>
          <w:szCs w:val="24"/>
          <w:lang w:val="ru-RU" w:eastAsia="uk-UA"/>
        </w:rPr>
        <w:t xml:space="preserve"> SR должна быть эквивалентна суточной дозе метформина, максимум 2000 мг, во время приема пищи вечером, тогда как дозировка инсулина регулируется на основе измерений глюкозы в крови.</w:t>
      </w:r>
    </w:p>
    <w:p w14:paraId="4A3CEA8D" w14:textId="77777777" w:rsidR="00E450CA" w:rsidRPr="006414B0" w:rsidRDefault="004E393A" w:rsidP="009B236C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val="ru-RU" w:eastAsia="uk-UA"/>
        </w:rPr>
      </w:pPr>
      <w:r w:rsidRPr="006414B0">
        <w:rPr>
          <w:rFonts w:eastAsia="Calibri"/>
          <w:i/>
          <w:sz w:val="24"/>
          <w:szCs w:val="24"/>
          <w:lang w:val="ru-RU" w:eastAsia="uk-UA"/>
        </w:rPr>
        <w:t>У пациентов пожилого возраста</w:t>
      </w:r>
      <w:r w:rsidRPr="006414B0">
        <w:rPr>
          <w:rFonts w:eastAsia="Calibri"/>
          <w:sz w:val="24"/>
          <w:szCs w:val="24"/>
          <w:lang w:val="ru-RU" w:eastAsia="uk-UA"/>
        </w:rPr>
        <w:t xml:space="preserve"> возможно ухудшение функции почек, поэтому дозу метформина необходимо подбирать на основе оценки функции почек, которую следует проводить регулярно (см. </w:t>
      </w:r>
      <w:r w:rsidR="0069739F">
        <w:rPr>
          <w:rFonts w:eastAsia="Calibri"/>
          <w:sz w:val="24"/>
          <w:szCs w:val="24"/>
          <w:lang w:val="ru-RU" w:eastAsia="uk-UA"/>
        </w:rPr>
        <w:t xml:space="preserve"> раздел </w:t>
      </w:r>
      <w:r w:rsidRPr="006414B0">
        <w:rPr>
          <w:rFonts w:eastAsia="Calibri"/>
          <w:sz w:val="24"/>
          <w:szCs w:val="24"/>
          <w:lang w:val="ru-RU" w:eastAsia="uk-UA"/>
        </w:rPr>
        <w:t>«Особенности применения»).</w:t>
      </w:r>
    </w:p>
    <w:p w14:paraId="1DFEF4AC" w14:textId="77777777" w:rsidR="00E635B4" w:rsidRPr="006414B0" w:rsidRDefault="00E635B4" w:rsidP="009B236C">
      <w:pPr>
        <w:widowControl/>
        <w:autoSpaceDE/>
        <w:autoSpaceDN/>
        <w:adjustRightInd/>
        <w:spacing w:line="240" w:lineRule="auto"/>
        <w:rPr>
          <w:rFonts w:eastAsia="Calibri"/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 xml:space="preserve">Преимущество уменьшения риска возникновения сахарного диабета 2 типа или задержки его начала не было установлено у пациентов в возрасте от 75 лет (см. раздел </w:t>
      </w:r>
      <w:r w:rsidR="0069739F">
        <w:rPr>
          <w:sz w:val="24"/>
          <w:szCs w:val="24"/>
          <w:lang w:val="ru-RU" w:eastAsia="uk-UA"/>
        </w:rPr>
        <w:t>«</w:t>
      </w:r>
      <w:r w:rsidRPr="006414B0">
        <w:rPr>
          <w:sz w:val="24"/>
          <w:szCs w:val="24"/>
          <w:lang w:val="ru-RU" w:eastAsia="uk-UA"/>
        </w:rPr>
        <w:t>Фармакодинамика</w:t>
      </w:r>
      <w:r w:rsidR="0069739F">
        <w:rPr>
          <w:sz w:val="24"/>
          <w:szCs w:val="24"/>
          <w:lang w:val="ru-RU" w:eastAsia="uk-UA"/>
        </w:rPr>
        <w:t>»</w:t>
      </w:r>
      <w:r w:rsidRPr="006414B0">
        <w:rPr>
          <w:sz w:val="24"/>
          <w:szCs w:val="24"/>
          <w:lang w:val="ru-RU" w:eastAsia="uk-UA"/>
        </w:rPr>
        <w:t xml:space="preserve">), поэтому таким пациентам не рекомендовано назначение метформина (см. </w:t>
      </w:r>
      <w:r w:rsidR="0069739F">
        <w:rPr>
          <w:sz w:val="24"/>
          <w:szCs w:val="24"/>
          <w:lang w:val="ru-RU" w:eastAsia="uk-UA"/>
        </w:rPr>
        <w:t>раздел «</w:t>
      </w:r>
      <w:r w:rsidRPr="006414B0">
        <w:rPr>
          <w:sz w:val="24"/>
          <w:szCs w:val="24"/>
          <w:lang w:val="ru-RU" w:eastAsia="uk-UA"/>
        </w:rPr>
        <w:t>Особенности применения</w:t>
      </w:r>
      <w:r w:rsidR="0069739F">
        <w:rPr>
          <w:sz w:val="24"/>
          <w:szCs w:val="24"/>
          <w:lang w:val="ru-RU" w:eastAsia="uk-UA"/>
        </w:rPr>
        <w:t>»</w:t>
      </w:r>
      <w:r w:rsidRPr="006414B0">
        <w:rPr>
          <w:sz w:val="24"/>
          <w:szCs w:val="24"/>
          <w:lang w:val="ru-RU" w:eastAsia="uk-UA"/>
        </w:rPr>
        <w:t>).</w:t>
      </w:r>
    </w:p>
    <w:p w14:paraId="58FD2EF8" w14:textId="77777777" w:rsidR="00582E68" w:rsidRPr="006414B0" w:rsidRDefault="00E635B4" w:rsidP="00582E68">
      <w:pPr>
        <w:spacing w:line="240" w:lineRule="auto"/>
        <w:rPr>
          <w:sz w:val="24"/>
          <w:szCs w:val="24"/>
          <w:lang w:val="ru-RU" w:eastAsia="uk-UA"/>
        </w:rPr>
      </w:pPr>
      <w:r w:rsidRPr="006414B0">
        <w:rPr>
          <w:i/>
          <w:sz w:val="24"/>
          <w:szCs w:val="24"/>
          <w:lang w:val="ru-RU"/>
        </w:rPr>
        <w:t>Почечная недостаточность.</w:t>
      </w:r>
      <w:r w:rsidR="0069739F">
        <w:rPr>
          <w:i/>
          <w:sz w:val="24"/>
          <w:szCs w:val="24"/>
          <w:lang w:val="ru-RU"/>
        </w:rPr>
        <w:t xml:space="preserve"> </w:t>
      </w:r>
      <w:r w:rsidR="0069739F">
        <w:rPr>
          <w:sz w:val="24"/>
          <w:szCs w:val="24"/>
          <w:lang w:val="ru-RU"/>
        </w:rPr>
        <w:t>СКФ</w:t>
      </w:r>
      <w:r w:rsidR="004C39C4" w:rsidRPr="006414B0">
        <w:rPr>
          <w:sz w:val="24"/>
          <w:szCs w:val="24"/>
          <w:lang w:val="ru-RU"/>
        </w:rPr>
        <w:t xml:space="preserve"> следует оценивать до начала лечения лекарственными средствами, содержащими метформин, и после начала лечения, по крайней мере, ежегодно. У пациентов с повышенным риском дальнейшего прогрессирования почечной недостаточности и у пациентов пожилого возраста следует проводить тщательный контроль функции почек как можно чаще, например каждые 3</w:t>
      </w:r>
      <w:r w:rsidR="00582E68" w:rsidRPr="006414B0">
        <w:rPr>
          <w:sz w:val="24"/>
          <w:szCs w:val="24"/>
          <w:lang w:val="ru-RU" w:eastAsia="uk-UA"/>
        </w:rPr>
        <w:sym w:font="Symbol" w:char="F02D"/>
      </w:r>
      <w:r w:rsidR="00582E68" w:rsidRPr="006414B0">
        <w:rPr>
          <w:sz w:val="24"/>
          <w:szCs w:val="24"/>
          <w:lang w:val="ru-RU" w:eastAsia="uk-UA"/>
        </w:rPr>
        <w:t>6 месяцев.</w:t>
      </w:r>
    </w:p>
    <w:p w14:paraId="03FFBAB0" w14:textId="77777777" w:rsidR="00582E68" w:rsidRPr="006414B0" w:rsidRDefault="00582E68" w:rsidP="00582E68">
      <w:pPr>
        <w:spacing w:line="240" w:lineRule="auto"/>
        <w:rPr>
          <w:sz w:val="24"/>
          <w:szCs w:val="24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5493"/>
      </w:tblGrid>
      <w:tr w:rsidR="00582E68" w:rsidRPr="006414B0" w14:paraId="0F65B5EA" w14:textId="77777777" w:rsidTr="00D530AB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9635" w14:textId="77777777" w:rsidR="00582E68" w:rsidRPr="006414B0" w:rsidRDefault="00582E68" w:rsidP="00D530AB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СКФ</w:t>
            </w:r>
          </w:p>
          <w:p w14:paraId="78F41F6E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(мл/мин)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B74C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 xml:space="preserve">Общая максимальная </w:t>
            </w:r>
          </w:p>
          <w:p w14:paraId="2792ADA9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суточная доза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F813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sz w:val="24"/>
                <w:szCs w:val="24"/>
                <w:lang w:val="ru-RU"/>
              </w:rPr>
              <w:t>Дополнительные рекомендации</w:t>
            </w:r>
          </w:p>
        </w:tc>
      </w:tr>
      <w:tr w:rsidR="00582E68" w:rsidRPr="006414B0" w14:paraId="7B17653B" w14:textId="77777777" w:rsidTr="00D530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90A6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60–89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0473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2000 мг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88F2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sz w:val="24"/>
                <w:szCs w:val="24"/>
                <w:lang w:val="ru-RU"/>
              </w:rPr>
              <w:t>При снижении функции почек рекомендуется рассмотреть возможность снижения дозы.</w:t>
            </w:r>
          </w:p>
        </w:tc>
      </w:tr>
      <w:tr w:rsidR="00582E68" w:rsidRPr="006414B0" w14:paraId="4532D707" w14:textId="77777777" w:rsidTr="00D530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86EA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4B0">
              <w:rPr>
                <w:sz w:val="24"/>
                <w:szCs w:val="24"/>
                <w:lang w:val="ru-RU"/>
              </w:rPr>
              <w:t>45–59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89DC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2000 мг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A85E" w14:textId="77777777" w:rsidR="00582E68" w:rsidRPr="006414B0" w:rsidRDefault="00582E68" w:rsidP="00D530A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414B0">
              <w:rPr>
                <w:sz w:val="24"/>
                <w:szCs w:val="24"/>
                <w:lang w:val="ru-RU"/>
              </w:rPr>
              <w:t xml:space="preserve">Следует проанализировать факторы, которые могут </w:t>
            </w:r>
            <w:r w:rsidRPr="006414B0">
              <w:rPr>
                <w:sz w:val="24"/>
                <w:szCs w:val="24"/>
                <w:lang w:val="ru-RU"/>
              </w:rPr>
              <w:lastRenderedPageBreak/>
              <w:t>увеличить риск развития лактоацидоза (см. раздел «Особенности применения») до начала лечения метформином.</w:t>
            </w:r>
          </w:p>
          <w:p w14:paraId="094C0A46" w14:textId="77777777" w:rsidR="00582E68" w:rsidRPr="006414B0" w:rsidRDefault="00582E68" w:rsidP="00D530A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6414B0">
              <w:rPr>
                <w:sz w:val="24"/>
                <w:szCs w:val="24"/>
                <w:lang w:val="ru-RU"/>
              </w:rPr>
              <w:t>Начальная дозировка составляет не более половины максимальной дозы.</w:t>
            </w:r>
          </w:p>
        </w:tc>
      </w:tr>
      <w:tr w:rsidR="00582E68" w:rsidRPr="006414B0" w14:paraId="0F3C1B67" w14:textId="77777777" w:rsidTr="00D530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F8D7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after="20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lastRenderedPageBreak/>
              <w:t>30-44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2D04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after="200"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1000 мг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548" w14:textId="77777777" w:rsidR="00582E68" w:rsidRPr="006414B0" w:rsidRDefault="00582E68" w:rsidP="00D530A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82E68" w:rsidRPr="006414B0" w14:paraId="7B928735" w14:textId="77777777" w:rsidTr="00D530AB">
        <w:trPr>
          <w:trHeight w:val="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F5A5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&lt;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6966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3934" w14:textId="77777777" w:rsidR="00582E68" w:rsidRPr="006414B0" w:rsidRDefault="00582E68" w:rsidP="00D530AB">
            <w:pPr>
              <w:numPr>
                <w:ilvl w:val="12"/>
                <w:numId w:val="0"/>
              </w:numPr>
              <w:tabs>
                <w:tab w:val="left" w:pos="2011"/>
              </w:tabs>
              <w:spacing w:line="240" w:lineRule="auto"/>
              <w:rPr>
                <w:b/>
                <w:i/>
                <w:sz w:val="24"/>
                <w:szCs w:val="24"/>
                <w:lang w:val="ru-RU"/>
              </w:rPr>
            </w:pPr>
            <w:r w:rsidRPr="006414B0">
              <w:rPr>
                <w:sz w:val="24"/>
                <w:szCs w:val="24"/>
                <w:lang w:val="ru-RU"/>
              </w:rPr>
              <w:t>Применение метформина противопоказано.</w:t>
            </w:r>
          </w:p>
        </w:tc>
      </w:tr>
    </w:tbl>
    <w:p w14:paraId="3F59FE41" w14:textId="77777777" w:rsidR="004E393A" w:rsidRPr="006414B0" w:rsidRDefault="004E393A" w:rsidP="009B236C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14:paraId="7A7BE325" w14:textId="77777777" w:rsidR="00E450CA" w:rsidRPr="006414B0" w:rsidRDefault="003C4D18" w:rsidP="00AE3852">
      <w:pPr>
        <w:spacing w:line="240" w:lineRule="auto"/>
        <w:ind w:right="264"/>
        <w:jc w:val="left"/>
        <w:rPr>
          <w:sz w:val="24"/>
          <w:szCs w:val="24"/>
          <w:lang w:val="ru-RU" w:eastAsia="uk-UA"/>
        </w:rPr>
      </w:pPr>
      <w:r w:rsidRPr="006414B0">
        <w:rPr>
          <w:b/>
          <w:i/>
          <w:sz w:val="24"/>
          <w:szCs w:val="24"/>
          <w:lang w:val="ru-RU" w:eastAsia="uk-UA"/>
        </w:rPr>
        <w:t>Дети.</w:t>
      </w:r>
      <w:r w:rsidR="0069739F">
        <w:rPr>
          <w:b/>
          <w:i/>
          <w:sz w:val="24"/>
          <w:szCs w:val="24"/>
          <w:lang w:val="ru-RU" w:eastAsia="uk-UA"/>
        </w:rPr>
        <w:t xml:space="preserve"> </w:t>
      </w:r>
      <w:r w:rsidR="00E450CA" w:rsidRPr="006414B0">
        <w:rPr>
          <w:sz w:val="24"/>
          <w:szCs w:val="24"/>
          <w:lang w:val="ru-RU" w:eastAsia="uk-UA"/>
        </w:rPr>
        <w:t xml:space="preserve">Препарат не применять детям, поскольку нет клинических данных </w:t>
      </w:r>
      <w:r w:rsidR="0069739F">
        <w:rPr>
          <w:sz w:val="24"/>
          <w:szCs w:val="24"/>
          <w:lang w:val="ru-RU" w:eastAsia="uk-UA"/>
        </w:rPr>
        <w:t>относительно</w:t>
      </w:r>
      <w:r w:rsidR="00E450CA" w:rsidRPr="006414B0">
        <w:rPr>
          <w:sz w:val="24"/>
          <w:szCs w:val="24"/>
          <w:lang w:val="ru-RU" w:eastAsia="uk-UA"/>
        </w:rPr>
        <w:t xml:space="preserve"> </w:t>
      </w:r>
      <w:r w:rsidR="0069739F">
        <w:rPr>
          <w:sz w:val="24"/>
          <w:szCs w:val="24"/>
          <w:lang w:val="ru-RU" w:eastAsia="uk-UA"/>
        </w:rPr>
        <w:t>данной</w:t>
      </w:r>
      <w:r w:rsidR="00E450CA" w:rsidRPr="006414B0">
        <w:rPr>
          <w:sz w:val="24"/>
          <w:szCs w:val="24"/>
          <w:lang w:val="ru-RU" w:eastAsia="uk-UA"/>
        </w:rPr>
        <w:t xml:space="preserve"> возрастной групп</w:t>
      </w:r>
      <w:r w:rsidR="0069739F">
        <w:rPr>
          <w:sz w:val="24"/>
          <w:szCs w:val="24"/>
          <w:lang w:val="ru-RU" w:eastAsia="uk-UA"/>
        </w:rPr>
        <w:t>ы</w:t>
      </w:r>
      <w:r w:rsidR="00E450CA" w:rsidRPr="006414B0">
        <w:rPr>
          <w:sz w:val="24"/>
          <w:szCs w:val="24"/>
          <w:lang w:val="ru-RU" w:eastAsia="uk-UA"/>
        </w:rPr>
        <w:t xml:space="preserve"> пациентов. </w:t>
      </w:r>
      <w:bookmarkStart w:id="1" w:name="ForChild"/>
    </w:p>
    <w:bookmarkEnd w:id="1"/>
    <w:p w14:paraId="7DC5F2FB" w14:textId="77777777" w:rsidR="00E450CA" w:rsidRPr="006414B0" w:rsidRDefault="00E450CA" w:rsidP="009B236C">
      <w:pPr>
        <w:widowControl/>
        <w:spacing w:line="240" w:lineRule="auto"/>
        <w:rPr>
          <w:sz w:val="24"/>
          <w:szCs w:val="24"/>
          <w:lang w:val="ru-RU"/>
        </w:rPr>
      </w:pPr>
    </w:p>
    <w:p w14:paraId="2E0780CB" w14:textId="77777777" w:rsidR="0005359B" w:rsidRPr="006414B0" w:rsidRDefault="00353DA7" w:rsidP="009B236C">
      <w:pPr>
        <w:pStyle w:val="a4"/>
        <w:spacing w:before="0" w:beforeAutospacing="0" w:after="0" w:afterAutospacing="0"/>
        <w:jc w:val="both"/>
      </w:pPr>
      <w:r w:rsidRPr="006414B0">
        <w:rPr>
          <w:b/>
          <w:i/>
        </w:rPr>
        <w:t>Передозировка.</w:t>
      </w:r>
      <w:r w:rsidRPr="006414B0">
        <w:t xml:space="preserve"> </w:t>
      </w:r>
    </w:p>
    <w:p w14:paraId="70E4BE17" w14:textId="77777777" w:rsidR="00EA528D" w:rsidRPr="006414B0" w:rsidRDefault="00E450CA" w:rsidP="009B236C">
      <w:pPr>
        <w:spacing w:line="240" w:lineRule="auto"/>
        <w:rPr>
          <w:i/>
          <w:sz w:val="24"/>
          <w:szCs w:val="24"/>
          <w:lang w:val="ru-RU" w:eastAsia="uk-UA"/>
        </w:rPr>
      </w:pPr>
      <w:r w:rsidRPr="006414B0">
        <w:rPr>
          <w:sz w:val="24"/>
          <w:szCs w:val="24"/>
          <w:lang w:val="ru-RU" w:eastAsia="uk-UA"/>
        </w:rPr>
        <w:t xml:space="preserve">При применении препарата в дозе </w:t>
      </w:r>
      <w:smartTag w:uri="urn:schemas-microsoft-com:office:smarttags" w:element="metricconverter">
        <w:smartTagPr>
          <w:attr w:name="ProductID" w:val="85 г"/>
        </w:smartTagPr>
        <w:r w:rsidRPr="006414B0">
          <w:rPr>
            <w:sz w:val="24"/>
            <w:szCs w:val="24"/>
            <w:lang w:val="ru-RU" w:eastAsia="uk-UA"/>
          </w:rPr>
          <w:t>85 г</w:t>
        </w:r>
      </w:smartTag>
      <w:r w:rsidR="0069739F">
        <w:rPr>
          <w:sz w:val="24"/>
          <w:szCs w:val="24"/>
          <w:lang w:val="ru-RU" w:eastAsia="uk-UA"/>
        </w:rPr>
        <w:t xml:space="preserve"> </w:t>
      </w:r>
      <w:r w:rsidRPr="006414B0">
        <w:rPr>
          <w:sz w:val="24"/>
          <w:szCs w:val="24"/>
          <w:lang w:val="ru-RU" w:eastAsia="uk-UA"/>
        </w:rPr>
        <w:t>развития гипогликемии не наблюдалось. Однако в этом случае наблюдалось развитие лактоацидоза. Значительное превышение дозы метформина или сопутствующие факторы риска могут вызвать лактоацидоз. Лактоацидоз является неотложным состоянием. В случае развития лактоацидоза лечение препаратом Диаформином</w:t>
      </w:r>
      <w:r w:rsidR="0069739F" w:rsidRPr="007A21BB">
        <w:rPr>
          <w:sz w:val="24"/>
          <w:szCs w:val="24"/>
          <w:vertAlign w:val="superscript"/>
          <w:lang w:eastAsia="uk-UA"/>
        </w:rPr>
        <w:t>®</w:t>
      </w:r>
      <w:r w:rsidRPr="006414B0">
        <w:rPr>
          <w:sz w:val="24"/>
          <w:szCs w:val="24"/>
          <w:lang w:val="ru-RU" w:eastAsia="uk-UA"/>
        </w:rPr>
        <w:t xml:space="preserve"> SR необходимо прекратить и срочно госпитализировать больного. Наиболее эффективной мерой для выведения из организма лактата и метформина является гемодиализ.</w:t>
      </w:r>
    </w:p>
    <w:p w14:paraId="125D6A1A" w14:textId="77777777" w:rsidR="00A850D2" w:rsidRPr="006414B0" w:rsidRDefault="00A850D2" w:rsidP="009B23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4BC10BC" w14:textId="77777777" w:rsidR="0005359B" w:rsidRPr="006414B0" w:rsidRDefault="00351F4D" w:rsidP="009B236C">
      <w:pPr>
        <w:pStyle w:val="a4"/>
        <w:spacing w:before="0" w:beforeAutospacing="0" w:after="0" w:afterAutospacing="0"/>
        <w:jc w:val="both"/>
        <w:rPr>
          <w:b/>
          <w:i/>
        </w:rPr>
      </w:pPr>
      <w:r w:rsidRPr="006414B0">
        <w:rPr>
          <w:b/>
          <w:i/>
        </w:rPr>
        <w:t>Побочные реакции.</w:t>
      </w:r>
    </w:p>
    <w:p w14:paraId="5DDAB2FE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>Согласно данным постмаркетинговых и контролируемых клинических исследований побочные реакции у пациентов, получавших метформин гидрохлорид пролонгированного высвобождения, были сходными по природе и степени тяжести с таковыми у пациентов, получавших метформин с немедленным высвобождением активного вещества.</w:t>
      </w:r>
    </w:p>
    <w:p w14:paraId="2A11AB0B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>Частыми нежелательными реакциями в начале лечения являются тошнота, рвота, диарея, боль в животе, отсутствие аппетита. Эти симптомы в большинстве случаев проходят самостоятельно.</w:t>
      </w:r>
    </w:p>
    <w:p w14:paraId="02DB86A3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>Побочные эффекты по частоте возникновения классифицируют по таким категориям: очень часто (&gt; 1/10), часто (&gt; 1/100 и &lt; 1/10), нечасто (&gt; 1/1000 и &lt; 1/100), редко (&gt; 1/10000 и &lt; 1/1000), очень редко (&lt; 1/10000).</w:t>
      </w:r>
    </w:p>
    <w:p w14:paraId="3AC8D330" w14:textId="77777777" w:rsidR="0069739F" w:rsidRPr="0069739F" w:rsidRDefault="0069739F" w:rsidP="0069739F">
      <w:pPr>
        <w:spacing w:line="240" w:lineRule="auto"/>
        <w:rPr>
          <w:i/>
          <w:sz w:val="24"/>
          <w:szCs w:val="24"/>
          <w:lang w:val="ru-RU" w:eastAsia="uk-UA"/>
        </w:rPr>
      </w:pPr>
      <w:r w:rsidRPr="0069739F">
        <w:rPr>
          <w:i/>
          <w:sz w:val="24"/>
          <w:szCs w:val="24"/>
          <w:lang w:val="ru-RU" w:eastAsia="uk-UA"/>
        </w:rPr>
        <w:t>Нарушение обмена веществ.</w:t>
      </w:r>
    </w:p>
    <w:p w14:paraId="455AA637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>Очень редко: лактоацидоз (см. раздел «Особенности применения»).</w:t>
      </w:r>
    </w:p>
    <w:p w14:paraId="41A76B4A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>При длительном применении препарата может снижаться всасывание витамина В</w:t>
      </w:r>
      <w:r w:rsidRPr="0069739F">
        <w:rPr>
          <w:sz w:val="24"/>
          <w:szCs w:val="24"/>
          <w:vertAlign w:val="subscript"/>
          <w:lang w:val="ru-RU" w:eastAsia="uk-UA"/>
        </w:rPr>
        <w:t>12</w:t>
      </w:r>
      <w:r w:rsidRPr="0069739F">
        <w:rPr>
          <w:sz w:val="24"/>
          <w:szCs w:val="24"/>
          <w:lang w:val="ru-RU" w:eastAsia="uk-UA"/>
        </w:rPr>
        <w:t>, что сопровождается снижением его уровня в сыворотке крови. Рекомендуется учитывать такую возможную причину гиповитаминоза В</w:t>
      </w:r>
      <w:r w:rsidRPr="0069739F">
        <w:rPr>
          <w:sz w:val="24"/>
          <w:szCs w:val="24"/>
          <w:vertAlign w:val="subscript"/>
          <w:lang w:val="ru-RU" w:eastAsia="uk-UA"/>
        </w:rPr>
        <w:t>12</w:t>
      </w:r>
      <w:r w:rsidRPr="0069739F">
        <w:rPr>
          <w:sz w:val="24"/>
          <w:szCs w:val="24"/>
          <w:lang w:val="ru-RU" w:eastAsia="uk-UA"/>
        </w:rPr>
        <w:t>, если у пациента имеется мегалобластная анемия.</w:t>
      </w:r>
    </w:p>
    <w:p w14:paraId="4ECBD185" w14:textId="77777777" w:rsidR="0069739F" w:rsidRPr="0069739F" w:rsidRDefault="0069739F" w:rsidP="0069739F">
      <w:pPr>
        <w:spacing w:line="240" w:lineRule="auto"/>
        <w:rPr>
          <w:i/>
          <w:sz w:val="24"/>
          <w:szCs w:val="24"/>
          <w:lang w:val="ru-RU" w:eastAsia="uk-UA"/>
        </w:rPr>
      </w:pPr>
      <w:r w:rsidRPr="0069739F">
        <w:rPr>
          <w:i/>
          <w:sz w:val="24"/>
          <w:szCs w:val="24"/>
          <w:lang w:val="ru-RU" w:eastAsia="uk-UA"/>
        </w:rPr>
        <w:t>Со стороны нервной системы.</w:t>
      </w:r>
    </w:p>
    <w:p w14:paraId="7C31BAC6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>Часто: нарушение вкуса.</w:t>
      </w:r>
    </w:p>
    <w:p w14:paraId="1AD72782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i/>
          <w:sz w:val="24"/>
          <w:szCs w:val="24"/>
          <w:lang w:val="ru-RU" w:eastAsia="uk-UA"/>
        </w:rPr>
        <w:t>Со стороны пищеварительного тракта</w:t>
      </w:r>
      <w:r w:rsidRPr="0069739F">
        <w:rPr>
          <w:sz w:val="24"/>
          <w:szCs w:val="24"/>
          <w:lang w:val="ru-RU" w:eastAsia="uk-UA"/>
        </w:rPr>
        <w:t>.</w:t>
      </w:r>
    </w:p>
    <w:p w14:paraId="4B135728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>Очень часто: нарушения со стороны пищеварительной системы, такие как тошнота, рвота, диарея, боль в животе, отсутствие аппетита. Чаще всего эти побочные явления возникают в начале лечения и в большинстве случаев спонтанно исчезают. Для предупреждения возникновения побочных явлений со стороны желудочно-кишечного тракта рекомендуется медленное увеличение дозы препарата.</w:t>
      </w:r>
    </w:p>
    <w:p w14:paraId="40036476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i/>
          <w:sz w:val="24"/>
          <w:szCs w:val="24"/>
          <w:lang w:val="ru-RU" w:eastAsia="uk-UA"/>
        </w:rPr>
        <w:t xml:space="preserve">Со стороны </w:t>
      </w:r>
      <w:r>
        <w:rPr>
          <w:i/>
          <w:sz w:val="24"/>
          <w:szCs w:val="24"/>
          <w:lang w:val="ru-RU" w:eastAsia="uk-UA"/>
        </w:rPr>
        <w:t>гепатобилиарной</w:t>
      </w:r>
      <w:r w:rsidRPr="0069739F">
        <w:rPr>
          <w:i/>
          <w:sz w:val="24"/>
          <w:szCs w:val="24"/>
          <w:lang w:val="ru-RU" w:eastAsia="uk-UA"/>
        </w:rPr>
        <w:t xml:space="preserve"> системы</w:t>
      </w:r>
      <w:r w:rsidRPr="0069739F">
        <w:rPr>
          <w:sz w:val="24"/>
          <w:szCs w:val="24"/>
          <w:lang w:val="ru-RU" w:eastAsia="uk-UA"/>
        </w:rPr>
        <w:t>.</w:t>
      </w:r>
    </w:p>
    <w:p w14:paraId="5D31CEEB" w14:textId="77777777" w:rsidR="0069739F" w:rsidRPr="0069739F" w:rsidRDefault="0069739F" w:rsidP="0069739F">
      <w:pPr>
        <w:spacing w:line="240" w:lineRule="auto"/>
        <w:rPr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 xml:space="preserve">Очень редко: отдельные сообщения о нарушении показателей функции печени или гепатитов, полностью исчезают после отмены метформина. </w:t>
      </w:r>
    </w:p>
    <w:p w14:paraId="5ADBF538" w14:textId="77777777" w:rsidR="0069739F" w:rsidRPr="0069739F" w:rsidRDefault="0069739F" w:rsidP="0069739F">
      <w:pPr>
        <w:spacing w:line="240" w:lineRule="auto"/>
        <w:rPr>
          <w:i/>
          <w:sz w:val="24"/>
          <w:szCs w:val="24"/>
          <w:lang w:val="ru-RU" w:eastAsia="uk-UA"/>
        </w:rPr>
      </w:pPr>
      <w:r w:rsidRPr="0069739F">
        <w:rPr>
          <w:i/>
          <w:sz w:val="24"/>
          <w:szCs w:val="24"/>
          <w:lang w:val="ru-RU" w:eastAsia="uk-UA"/>
        </w:rPr>
        <w:t>Со стороны кожи и подкожной клетчатки.</w:t>
      </w:r>
    </w:p>
    <w:p w14:paraId="435B5C1B" w14:textId="77777777" w:rsidR="00E450CA" w:rsidRPr="006414B0" w:rsidRDefault="0069739F" w:rsidP="0069739F">
      <w:pPr>
        <w:spacing w:line="240" w:lineRule="auto"/>
        <w:rPr>
          <w:i/>
          <w:sz w:val="24"/>
          <w:szCs w:val="24"/>
          <w:lang w:val="ru-RU" w:eastAsia="uk-UA"/>
        </w:rPr>
      </w:pPr>
      <w:r w:rsidRPr="0069739F">
        <w:rPr>
          <w:sz w:val="24"/>
          <w:szCs w:val="24"/>
          <w:lang w:val="ru-RU" w:eastAsia="uk-UA"/>
        </w:rPr>
        <w:t>Очень редко: кожные аллергические реакции, включая эритему, зуд, крапивницу</w:t>
      </w:r>
      <w:r w:rsidR="005D272D" w:rsidRPr="006414B0">
        <w:rPr>
          <w:sz w:val="24"/>
          <w:szCs w:val="24"/>
          <w:lang w:val="ru-RU" w:eastAsia="uk-UA"/>
        </w:rPr>
        <w:t>.</w:t>
      </w:r>
    </w:p>
    <w:p w14:paraId="22E94DD4" w14:textId="77777777" w:rsidR="00E450CA" w:rsidRPr="006414B0" w:rsidRDefault="00E450CA" w:rsidP="009B236C">
      <w:pPr>
        <w:spacing w:line="240" w:lineRule="auto"/>
        <w:rPr>
          <w:sz w:val="24"/>
          <w:szCs w:val="24"/>
          <w:lang w:val="ru-RU"/>
        </w:rPr>
      </w:pPr>
    </w:p>
    <w:p w14:paraId="6B5B8592" w14:textId="77777777" w:rsidR="00D01C77" w:rsidRPr="006414B0" w:rsidRDefault="00D01C77" w:rsidP="00D01BE8">
      <w:pPr>
        <w:spacing w:line="240" w:lineRule="auto"/>
        <w:rPr>
          <w:b/>
          <w:i/>
          <w:sz w:val="24"/>
          <w:szCs w:val="24"/>
          <w:lang w:val="ru-RU"/>
        </w:rPr>
      </w:pPr>
    </w:p>
    <w:p w14:paraId="31201DCA" w14:textId="77777777" w:rsidR="00FC361C" w:rsidRPr="006414B0" w:rsidRDefault="00351F4D" w:rsidP="00D01BE8">
      <w:pPr>
        <w:spacing w:line="240" w:lineRule="auto"/>
        <w:rPr>
          <w:snapToGrid w:val="0"/>
          <w:color w:val="000000"/>
          <w:sz w:val="24"/>
          <w:szCs w:val="24"/>
          <w:lang w:val="ru-RU"/>
        </w:rPr>
      </w:pPr>
      <w:r w:rsidRPr="006414B0">
        <w:rPr>
          <w:b/>
          <w:i/>
          <w:sz w:val="24"/>
          <w:szCs w:val="24"/>
          <w:lang w:val="ru-RU"/>
        </w:rPr>
        <w:t>Срок годности.</w:t>
      </w:r>
      <w:r w:rsidRPr="006414B0">
        <w:rPr>
          <w:b/>
          <w:sz w:val="24"/>
          <w:szCs w:val="24"/>
          <w:lang w:val="ru-RU"/>
        </w:rPr>
        <w:t xml:space="preserve"> </w:t>
      </w:r>
      <w:r w:rsidR="00376C34" w:rsidRPr="006414B0">
        <w:rPr>
          <w:sz w:val="24"/>
          <w:szCs w:val="24"/>
          <w:lang w:val="ru-RU"/>
        </w:rPr>
        <w:t>3 года.</w:t>
      </w:r>
    </w:p>
    <w:p w14:paraId="382389A7" w14:textId="77777777" w:rsidR="00AC2264" w:rsidRPr="006414B0" w:rsidRDefault="00AC2264" w:rsidP="009B236C">
      <w:pPr>
        <w:widowControl/>
        <w:spacing w:line="240" w:lineRule="auto"/>
        <w:rPr>
          <w:sz w:val="24"/>
          <w:szCs w:val="24"/>
          <w:lang w:val="ru-RU"/>
        </w:rPr>
      </w:pPr>
      <w:r w:rsidRPr="006414B0">
        <w:rPr>
          <w:sz w:val="24"/>
          <w:szCs w:val="24"/>
          <w:lang w:val="ru-RU"/>
        </w:rPr>
        <w:t>Не применять препарат по истечении срока годности, указанного на упаковке.</w:t>
      </w:r>
    </w:p>
    <w:p w14:paraId="46649925" w14:textId="77777777" w:rsidR="00EA4F0A" w:rsidRPr="006414B0" w:rsidRDefault="00EA4F0A" w:rsidP="009B236C">
      <w:pPr>
        <w:widowControl/>
        <w:spacing w:line="240" w:lineRule="auto"/>
        <w:rPr>
          <w:b/>
          <w:sz w:val="24"/>
          <w:szCs w:val="24"/>
          <w:lang w:val="ru-RU"/>
        </w:rPr>
      </w:pPr>
    </w:p>
    <w:p w14:paraId="1C53F33D" w14:textId="77777777" w:rsidR="00D01BE8" w:rsidRPr="006414B0" w:rsidRDefault="00351F4D" w:rsidP="009B236C">
      <w:pPr>
        <w:widowControl/>
        <w:spacing w:line="240" w:lineRule="auto"/>
        <w:rPr>
          <w:sz w:val="24"/>
          <w:szCs w:val="24"/>
          <w:lang w:val="ru-RU"/>
        </w:rPr>
      </w:pPr>
      <w:r w:rsidRPr="006414B0">
        <w:rPr>
          <w:b/>
          <w:sz w:val="24"/>
          <w:szCs w:val="24"/>
          <w:lang w:val="ru-RU"/>
        </w:rPr>
        <w:t xml:space="preserve">Условия хранения. </w:t>
      </w:r>
      <w:r w:rsidRPr="006414B0">
        <w:rPr>
          <w:b/>
          <w:sz w:val="24"/>
          <w:szCs w:val="24"/>
          <w:lang w:val="ru-RU"/>
        </w:rPr>
        <w:tab/>
      </w:r>
      <w:r w:rsidR="00376C34" w:rsidRPr="006414B0">
        <w:rPr>
          <w:sz w:val="24"/>
          <w:szCs w:val="24"/>
          <w:lang w:val="ru-RU"/>
        </w:rPr>
        <w:t xml:space="preserve">Хранить при температуре не выше 30 °С. </w:t>
      </w:r>
    </w:p>
    <w:p w14:paraId="5BA739FC" w14:textId="77777777" w:rsidR="00376C34" w:rsidRPr="006414B0" w:rsidRDefault="00376C34" w:rsidP="009B236C">
      <w:pPr>
        <w:widowControl/>
        <w:spacing w:line="240" w:lineRule="auto"/>
        <w:rPr>
          <w:i/>
          <w:sz w:val="24"/>
          <w:szCs w:val="24"/>
          <w:lang w:val="ru-RU"/>
        </w:rPr>
      </w:pPr>
      <w:r w:rsidRPr="006414B0">
        <w:rPr>
          <w:sz w:val="24"/>
          <w:szCs w:val="24"/>
          <w:lang w:val="ru-RU"/>
        </w:rPr>
        <w:t>Хранить в недоступном для детей месте.</w:t>
      </w:r>
    </w:p>
    <w:p w14:paraId="396855AF" w14:textId="77777777" w:rsidR="005813B8" w:rsidRPr="006414B0" w:rsidRDefault="005813B8" w:rsidP="009B236C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</w:p>
    <w:p w14:paraId="72ABEBF2" w14:textId="77777777" w:rsidR="00605D78" w:rsidRPr="006414B0" w:rsidRDefault="00351F4D" w:rsidP="009B236C">
      <w:pPr>
        <w:spacing w:line="240" w:lineRule="auto"/>
        <w:rPr>
          <w:sz w:val="24"/>
          <w:szCs w:val="24"/>
          <w:lang w:val="ru-RU"/>
        </w:rPr>
      </w:pPr>
      <w:r w:rsidRPr="006414B0">
        <w:rPr>
          <w:b/>
          <w:sz w:val="24"/>
          <w:szCs w:val="24"/>
          <w:lang w:val="ru-RU"/>
        </w:rPr>
        <w:t>Упаковка.</w:t>
      </w:r>
      <w:r w:rsidR="0069739F">
        <w:rPr>
          <w:b/>
          <w:sz w:val="24"/>
          <w:szCs w:val="24"/>
          <w:lang w:val="ru-RU"/>
        </w:rPr>
        <w:t xml:space="preserve"> </w:t>
      </w:r>
      <w:r w:rsidR="00605D78" w:rsidRPr="006414B0">
        <w:rPr>
          <w:sz w:val="24"/>
          <w:szCs w:val="24"/>
          <w:lang w:val="ru-RU"/>
        </w:rPr>
        <w:t xml:space="preserve">По 10 таблеток в блистере. По 3, 6 или 10 блистеров в пачке (упаковка из формы </w:t>
      </w:r>
      <w:proofErr w:type="spellStart"/>
      <w:r w:rsidR="00605D78" w:rsidRPr="006414B0">
        <w:rPr>
          <w:sz w:val="24"/>
          <w:szCs w:val="24"/>
          <w:lang w:val="ru-RU"/>
        </w:rPr>
        <w:t>in</w:t>
      </w:r>
      <w:proofErr w:type="spellEnd"/>
      <w:r w:rsidR="00605D78" w:rsidRPr="006414B0">
        <w:rPr>
          <w:sz w:val="24"/>
          <w:szCs w:val="24"/>
          <w:lang w:val="ru-RU"/>
        </w:rPr>
        <w:t xml:space="preserve"> </w:t>
      </w:r>
      <w:proofErr w:type="spellStart"/>
      <w:r w:rsidR="00605D78" w:rsidRPr="006414B0">
        <w:rPr>
          <w:sz w:val="24"/>
          <w:szCs w:val="24"/>
          <w:lang w:val="ru-RU"/>
        </w:rPr>
        <w:t>bulk</w:t>
      </w:r>
      <w:proofErr w:type="spellEnd"/>
      <w:r w:rsidR="00605D78" w:rsidRPr="006414B0">
        <w:rPr>
          <w:sz w:val="24"/>
          <w:szCs w:val="24"/>
          <w:lang w:val="ru-RU"/>
        </w:rPr>
        <w:t xml:space="preserve"> фирмы-производителя USV Private Limited, Индия).</w:t>
      </w:r>
    </w:p>
    <w:p w14:paraId="488786CB" w14:textId="77777777" w:rsidR="00605D78" w:rsidRPr="006414B0" w:rsidRDefault="00605D78" w:rsidP="009B236C">
      <w:pPr>
        <w:spacing w:line="240" w:lineRule="auto"/>
        <w:rPr>
          <w:b/>
          <w:sz w:val="24"/>
          <w:szCs w:val="24"/>
          <w:lang w:val="ru-RU"/>
        </w:rPr>
      </w:pPr>
    </w:p>
    <w:p w14:paraId="124AF889" w14:textId="77777777" w:rsidR="007378BC" w:rsidRPr="006414B0" w:rsidRDefault="00351F4D" w:rsidP="009B236C">
      <w:pPr>
        <w:spacing w:line="240" w:lineRule="auto"/>
        <w:rPr>
          <w:b/>
          <w:noProof/>
          <w:sz w:val="24"/>
          <w:szCs w:val="24"/>
          <w:lang w:val="ru-RU"/>
        </w:rPr>
      </w:pPr>
      <w:r w:rsidRPr="006414B0">
        <w:rPr>
          <w:b/>
          <w:noProof/>
          <w:sz w:val="24"/>
          <w:szCs w:val="24"/>
          <w:lang w:val="ru-RU"/>
        </w:rPr>
        <w:lastRenderedPageBreak/>
        <w:t xml:space="preserve">Категория отпуска. </w:t>
      </w:r>
      <w:r w:rsidR="001A664E" w:rsidRPr="006414B0">
        <w:rPr>
          <w:sz w:val="24"/>
          <w:szCs w:val="24"/>
          <w:lang w:val="ru-RU" w:eastAsia="uk-UA"/>
        </w:rPr>
        <w:t>По рецепту.</w:t>
      </w:r>
    </w:p>
    <w:p w14:paraId="612D4AA0" w14:textId="77777777" w:rsidR="00D01BE8" w:rsidRPr="006414B0" w:rsidRDefault="00D01BE8" w:rsidP="009B236C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p w14:paraId="2194D86F" w14:textId="77777777" w:rsidR="00351F4D" w:rsidRPr="006414B0" w:rsidRDefault="00351F4D" w:rsidP="009B236C">
      <w:pPr>
        <w:spacing w:line="240" w:lineRule="auto"/>
        <w:rPr>
          <w:sz w:val="24"/>
          <w:szCs w:val="24"/>
          <w:lang w:val="ru-RU"/>
        </w:rPr>
      </w:pPr>
      <w:r w:rsidRPr="006414B0">
        <w:rPr>
          <w:b/>
          <w:noProof/>
          <w:sz w:val="24"/>
          <w:szCs w:val="24"/>
          <w:lang w:val="ru-RU"/>
        </w:rPr>
        <w:t>Производитель.</w:t>
      </w:r>
      <w:r w:rsidRPr="006414B0">
        <w:rPr>
          <w:sz w:val="24"/>
          <w:szCs w:val="24"/>
          <w:lang w:val="ru-RU"/>
        </w:rPr>
        <w:t>АО «Ф</w:t>
      </w:r>
      <w:r w:rsidR="0069739F">
        <w:rPr>
          <w:sz w:val="24"/>
          <w:szCs w:val="24"/>
          <w:lang w:val="ru-RU"/>
        </w:rPr>
        <w:t>а</w:t>
      </w:r>
      <w:r w:rsidRPr="006414B0">
        <w:rPr>
          <w:sz w:val="24"/>
          <w:szCs w:val="24"/>
          <w:lang w:val="ru-RU"/>
        </w:rPr>
        <w:t>рмак».</w:t>
      </w:r>
    </w:p>
    <w:p w14:paraId="663FDAE9" w14:textId="77777777" w:rsidR="003C4057" w:rsidRPr="006414B0" w:rsidRDefault="003C4057" w:rsidP="009B236C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</w:p>
    <w:p w14:paraId="3ABE0C83" w14:textId="77777777" w:rsidR="002A50D2" w:rsidRPr="006414B0" w:rsidRDefault="00351F4D" w:rsidP="009B236C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  <w:r w:rsidRPr="006414B0">
        <w:rPr>
          <w:b/>
          <w:noProof/>
          <w:sz w:val="24"/>
          <w:szCs w:val="24"/>
          <w:lang w:val="ru-RU"/>
        </w:rPr>
        <w:t xml:space="preserve">Местонахождение производителя и </w:t>
      </w:r>
      <w:r w:rsidR="00B51209" w:rsidRPr="006414B0">
        <w:rPr>
          <w:b/>
          <w:noProof/>
          <w:sz w:val="24"/>
          <w:szCs w:val="24"/>
          <w:lang w:val="ru-RU"/>
        </w:rPr>
        <w:t xml:space="preserve">его </w:t>
      </w:r>
      <w:r w:rsidRPr="006414B0">
        <w:rPr>
          <w:b/>
          <w:noProof/>
          <w:sz w:val="24"/>
          <w:szCs w:val="24"/>
          <w:lang w:val="ru-RU"/>
        </w:rPr>
        <w:t xml:space="preserve">адрес места </w:t>
      </w:r>
      <w:r w:rsidR="0069739F">
        <w:rPr>
          <w:b/>
          <w:noProof/>
          <w:sz w:val="24"/>
          <w:szCs w:val="24"/>
          <w:lang w:val="ru-RU"/>
        </w:rPr>
        <w:t>осуществления</w:t>
      </w:r>
      <w:r w:rsidRPr="006414B0">
        <w:rPr>
          <w:b/>
          <w:noProof/>
          <w:sz w:val="24"/>
          <w:szCs w:val="24"/>
          <w:lang w:val="ru-RU"/>
        </w:rPr>
        <w:t xml:space="preserve"> деятельности.</w:t>
      </w:r>
    </w:p>
    <w:p w14:paraId="27F2DEB3" w14:textId="77777777" w:rsidR="00351F4D" w:rsidRPr="006414B0" w:rsidRDefault="00351F4D" w:rsidP="009B236C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414B0">
        <w:rPr>
          <w:sz w:val="24"/>
          <w:szCs w:val="24"/>
          <w:lang w:val="ru-RU"/>
        </w:rPr>
        <w:t xml:space="preserve">Украина, 04080, </w:t>
      </w:r>
      <w:r w:rsidR="0069739F">
        <w:rPr>
          <w:sz w:val="24"/>
          <w:szCs w:val="24"/>
          <w:lang w:val="ru-RU"/>
        </w:rPr>
        <w:t>г</w:t>
      </w:r>
      <w:r w:rsidRPr="006414B0">
        <w:rPr>
          <w:sz w:val="24"/>
          <w:szCs w:val="24"/>
          <w:lang w:val="ru-RU"/>
        </w:rPr>
        <w:t>. Киев, ул. Кирилловская, 74.</w:t>
      </w:r>
    </w:p>
    <w:p w14:paraId="2B563C17" w14:textId="77777777" w:rsidR="007378BC" w:rsidRPr="006414B0" w:rsidRDefault="007378BC" w:rsidP="009B236C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14:paraId="264C07A3" w14:textId="77777777" w:rsidR="000E474B" w:rsidRPr="006414B0" w:rsidRDefault="00564949" w:rsidP="009B236C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6414B0">
        <w:rPr>
          <w:b/>
          <w:sz w:val="24"/>
          <w:szCs w:val="24"/>
          <w:lang w:val="ru-RU"/>
        </w:rPr>
        <w:t>Дата последнего п</w:t>
      </w:r>
      <w:r w:rsidR="0069739F">
        <w:rPr>
          <w:b/>
          <w:sz w:val="24"/>
          <w:szCs w:val="24"/>
          <w:lang w:val="ru-RU"/>
        </w:rPr>
        <w:t>ересмотра</w:t>
      </w:r>
      <w:r w:rsidRPr="006414B0">
        <w:rPr>
          <w:b/>
          <w:sz w:val="24"/>
          <w:szCs w:val="24"/>
          <w:lang w:val="ru-RU"/>
        </w:rPr>
        <w:t>.</w:t>
      </w:r>
      <w:r w:rsidR="0069739F">
        <w:rPr>
          <w:b/>
          <w:sz w:val="24"/>
          <w:szCs w:val="24"/>
          <w:lang w:val="ru-RU"/>
        </w:rPr>
        <w:t xml:space="preserve"> </w:t>
      </w:r>
      <w:r w:rsidR="00930C10" w:rsidRPr="006414B0">
        <w:rPr>
          <w:sz w:val="24"/>
          <w:szCs w:val="24"/>
          <w:lang w:val="ru-RU"/>
        </w:rPr>
        <w:t>20.10.2021.</w:t>
      </w:r>
    </w:p>
    <w:sectPr w:rsidR="000E474B" w:rsidRPr="006414B0" w:rsidSect="0075238B">
      <w:pgSz w:w="11900" w:h="16820"/>
      <w:pgMar w:top="568" w:right="701" w:bottom="426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85"/>
    <w:multiLevelType w:val="hybridMultilevel"/>
    <w:tmpl w:val="F99CA080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BA85FC0"/>
    <w:multiLevelType w:val="hybridMultilevel"/>
    <w:tmpl w:val="025AA100"/>
    <w:lvl w:ilvl="0" w:tplc="55DC2F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829"/>
    <w:multiLevelType w:val="hybridMultilevel"/>
    <w:tmpl w:val="7434507E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326"/>
    <w:multiLevelType w:val="hybridMultilevel"/>
    <w:tmpl w:val="3490CEA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7AE28CC"/>
    <w:multiLevelType w:val="hybridMultilevel"/>
    <w:tmpl w:val="BE0EA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43F96"/>
    <w:multiLevelType w:val="hybridMultilevel"/>
    <w:tmpl w:val="201650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4453F"/>
    <w:multiLevelType w:val="hybridMultilevel"/>
    <w:tmpl w:val="93C6A948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A3D"/>
    <w:multiLevelType w:val="hybridMultilevel"/>
    <w:tmpl w:val="CC903080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8D1D8B"/>
    <w:multiLevelType w:val="hybridMultilevel"/>
    <w:tmpl w:val="F56A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00157"/>
    <w:multiLevelType w:val="hybridMultilevel"/>
    <w:tmpl w:val="1DFCC1D6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C5569A7"/>
    <w:multiLevelType w:val="hybridMultilevel"/>
    <w:tmpl w:val="EB5E13F4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1F0"/>
    <w:multiLevelType w:val="hybridMultilevel"/>
    <w:tmpl w:val="5BFEBD2C"/>
    <w:lvl w:ilvl="0" w:tplc="A3A6A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76585"/>
    <w:multiLevelType w:val="hybridMultilevel"/>
    <w:tmpl w:val="B92C7F9E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6EFE"/>
    <w:multiLevelType w:val="hybridMultilevel"/>
    <w:tmpl w:val="AA6EC102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17FE0"/>
    <w:multiLevelType w:val="hybridMultilevel"/>
    <w:tmpl w:val="69CC314A"/>
    <w:lvl w:ilvl="0" w:tplc="DA3235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79B9"/>
    <w:multiLevelType w:val="multilevel"/>
    <w:tmpl w:val="FBF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772DB"/>
    <w:multiLevelType w:val="hybridMultilevel"/>
    <w:tmpl w:val="1E723D52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C3C5204"/>
    <w:multiLevelType w:val="hybridMultilevel"/>
    <w:tmpl w:val="4C2E0944"/>
    <w:lvl w:ilvl="0" w:tplc="2B549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1CF5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68B7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1C0E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D080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428A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72EA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3471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C612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3201E"/>
    <w:multiLevelType w:val="hybridMultilevel"/>
    <w:tmpl w:val="C9F415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450B5"/>
    <w:multiLevelType w:val="hybridMultilevel"/>
    <w:tmpl w:val="FC8068EC"/>
    <w:lvl w:ilvl="0" w:tplc="5A9C7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226A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4838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6A35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FC1E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D6B7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4E83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BC77D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6823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2B13F7"/>
    <w:multiLevelType w:val="hybridMultilevel"/>
    <w:tmpl w:val="1D46776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1A83"/>
    <w:multiLevelType w:val="hybridMultilevel"/>
    <w:tmpl w:val="7E9A47EA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C7D61"/>
    <w:multiLevelType w:val="hybridMultilevel"/>
    <w:tmpl w:val="735AC378"/>
    <w:lvl w:ilvl="0" w:tplc="11A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C0B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29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C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27E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66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84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69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6C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A1C02"/>
    <w:multiLevelType w:val="hybridMultilevel"/>
    <w:tmpl w:val="52FE551A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7F4D011D"/>
    <w:multiLevelType w:val="hybridMultilevel"/>
    <w:tmpl w:val="F13056B8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0"/>
  </w:num>
  <w:num w:numId="6">
    <w:abstractNumId w:val="23"/>
  </w:num>
  <w:num w:numId="7">
    <w:abstractNumId w:val="8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24"/>
  </w:num>
  <w:num w:numId="17">
    <w:abstractNumId w:val="10"/>
  </w:num>
  <w:num w:numId="18">
    <w:abstractNumId w:val="21"/>
  </w:num>
  <w:num w:numId="19">
    <w:abstractNumId w:val="1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4D"/>
    <w:rsid w:val="000003E3"/>
    <w:rsid w:val="000049E9"/>
    <w:rsid w:val="000058B0"/>
    <w:rsid w:val="00007F37"/>
    <w:rsid w:val="00011716"/>
    <w:rsid w:val="00011C28"/>
    <w:rsid w:val="00011E43"/>
    <w:rsid w:val="0001239A"/>
    <w:rsid w:val="00015222"/>
    <w:rsid w:val="000169CF"/>
    <w:rsid w:val="00016D25"/>
    <w:rsid w:val="00020325"/>
    <w:rsid w:val="00020879"/>
    <w:rsid w:val="0002125F"/>
    <w:rsid w:val="00022603"/>
    <w:rsid w:val="0002386D"/>
    <w:rsid w:val="0002593C"/>
    <w:rsid w:val="00025F47"/>
    <w:rsid w:val="000275AC"/>
    <w:rsid w:val="00030D3C"/>
    <w:rsid w:val="00032242"/>
    <w:rsid w:val="000340B9"/>
    <w:rsid w:val="00034140"/>
    <w:rsid w:val="000342C0"/>
    <w:rsid w:val="00035F86"/>
    <w:rsid w:val="000363EA"/>
    <w:rsid w:val="0003771A"/>
    <w:rsid w:val="00037A98"/>
    <w:rsid w:val="00043081"/>
    <w:rsid w:val="00043AC4"/>
    <w:rsid w:val="00045832"/>
    <w:rsid w:val="00046340"/>
    <w:rsid w:val="00050522"/>
    <w:rsid w:val="00050F7E"/>
    <w:rsid w:val="0005141F"/>
    <w:rsid w:val="0005359B"/>
    <w:rsid w:val="00053D63"/>
    <w:rsid w:val="000541A4"/>
    <w:rsid w:val="000561D3"/>
    <w:rsid w:val="00056693"/>
    <w:rsid w:val="0006369F"/>
    <w:rsid w:val="00063908"/>
    <w:rsid w:val="00063958"/>
    <w:rsid w:val="00063EB9"/>
    <w:rsid w:val="00063FCD"/>
    <w:rsid w:val="000649A5"/>
    <w:rsid w:val="00065720"/>
    <w:rsid w:val="000674D4"/>
    <w:rsid w:val="00071D96"/>
    <w:rsid w:val="00072078"/>
    <w:rsid w:val="0007250B"/>
    <w:rsid w:val="0007322A"/>
    <w:rsid w:val="000734A3"/>
    <w:rsid w:val="00073F91"/>
    <w:rsid w:val="00077709"/>
    <w:rsid w:val="00080156"/>
    <w:rsid w:val="00083772"/>
    <w:rsid w:val="0008429A"/>
    <w:rsid w:val="00084C9F"/>
    <w:rsid w:val="000864CC"/>
    <w:rsid w:val="000876C9"/>
    <w:rsid w:val="00087927"/>
    <w:rsid w:val="00091976"/>
    <w:rsid w:val="00092B89"/>
    <w:rsid w:val="0009322A"/>
    <w:rsid w:val="00094661"/>
    <w:rsid w:val="00095E08"/>
    <w:rsid w:val="000962F4"/>
    <w:rsid w:val="000A010A"/>
    <w:rsid w:val="000A08DD"/>
    <w:rsid w:val="000A1198"/>
    <w:rsid w:val="000A4475"/>
    <w:rsid w:val="000A4B0D"/>
    <w:rsid w:val="000A514F"/>
    <w:rsid w:val="000A5974"/>
    <w:rsid w:val="000A6B0E"/>
    <w:rsid w:val="000A72E5"/>
    <w:rsid w:val="000B09A1"/>
    <w:rsid w:val="000B2431"/>
    <w:rsid w:val="000B387B"/>
    <w:rsid w:val="000B3951"/>
    <w:rsid w:val="000B3A33"/>
    <w:rsid w:val="000B3C57"/>
    <w:rsid w:val="000B45B6"/>
    <w:rsid w:val="000B4D24"/>
    <w:rsid w:val="000B5E76"/>
    <w:rsid w:val="000C1591"/>
    <w:rsid w:val="000C179F"/>
    <w:rsid w:val="000D04B4"/>
    <w:rsid w:val="000D1B1B"/>
    <w:rsid w:val="000D2F6A"/>
    <w:rsid w:val="000D731D"/>
    <w:rsid w:val="000E0F2A"/>
    <w:rsid w:val="000E230D"/>
    <w:rsid w:val="000E2710"/>
    <w:rsid w:val="000E3A87"/>
    <w:rsid w:val="000E474B"/>
    <w:rsid w:val="000E4BDD"/>
    <w:rsid w:val="000E7F3D"/>
    <w:rsid w:val="000E7FE2"/>
    <w:rsid w:val="000F41D6"/>
    <w:rsid w:val="000F6438"/>
    <w:rsid w:val="000F724C"/>
    <w:rsid w:val="001001D8"/>
    <w:rsid w:val="00102F40"/>
    <w:rsid w:val="001042E7"/>
    <w:rsid w:val="00105659"/>
    <w:rsid w:val="0010677A"/>
    <w:rsid w:val="00110A17"/>
    <w:rsid w:val="00110DE4"/>
    <w:rsid w:val="001111FC"/>
    <w:rsid w:val="00111267"/>
    <w:rsid w:val="00111C16"/>
    <w:rsid w:val="001164C3"/>
    <w:rsid w:val="00120173"/>
    <w:rsid w:val="00120426"/>
    <w:rsid w:val="0012075F"/>
    <w:rsid w:val="001211AD"/>
    <w:rsid w:val="001215D0"/>
    <w:rsid w:val="001222E0"/>
    <w:rsid w:val="00123D0A"/>
    <w:rsid w:val="001253BF"/>
    <w:rsid w:val="00127AA9"/>
    <w:rsid w:val="00131326"/>
    <w:rsid w:val="00131996"/>
    <w:rsid w:val="001336CA"/>
    <w:rsid w:val="00133744"/>
    <w:rsid w:val="00134000"/>
    <w:rsid w:val="00134700"/>
    <w:rsid w:val="00134DAC"/>
    <w:rsid w:val="001368C6"/>
    <w:rsid w:val="00136C59"/>
    <w:rsid w:val="00136F06"/>
    <w:rsid w:val="00137896"/>
    <w:rsid w:val="00141890"/>
    <w:rsid w:val="00142103"/>
    <w:rsid w:val="00145C2B"/>
    <w:rsid w:val="00146FAA"/>
    <w:rsid w:val="00152CC5"/>
    <w:rsid w:val="00154B64"/>
    <w:rsid w:val="00154C7A"/>
    <w:rsid w:val="001605D2"/>
    <w:rsid w:val="001623B0"/>
    <w:rsid w:val="001623BC"/>
    <w:rsid w:val="001625EB"/>
    <w:rsid w:val="001713BC"/>
    <w:rsid w:val="00172561"/>
    <w:rsid w:val="00172725"/>
    <w:rsid w:val="001733D3"/>
    <w:rsid w:val="00173F72"/>
    <w:rsid w:val="001746A9"/>
    <w:rsid w:val="0017483E"/>
    <w:rsid w:val="00174DD3"/>
    <w:rsid w:val="00175D0E"/>
    <w:rsid w:val="001822B7"/>
    <w:rsid w:val="00185075"/>
    <w:rsid w:val="0018579E"/>
    <w:rsid w:val="00190CE6"/>
    <w:rsid w:val="00193A55"/>
    <w:rsid w:val="001948A3"/>
    <w:rsid w:val="00196662"/>
    <w:rsid w:val="001A1E65"/>
    <w:rsid w:val="001A345D"/>
    <w:rsid w:val="001A3D93"/>
    <w:rsid w:val="001A4CB9"/>
    <w:rsid w:val="001A664E"/>
    <w:rsid w:val="001A6BD0"/>
    <w:rsid w:val="001A7099"/>
    <w:rsid w:val="001A77A4"/>
    <w:rsid w:val="001B0A77"/>
    <w:rsid w:val="001B0B0A"/>
    <w:rsid w:val="001B3F3F"/>
    <w:rsid w:val="001B49D9"/>
    <w:rsid w:val="001B4F9E"/>
    <w:rsid w:val="001C074E"/>
    <w:rsid w:val="001C3542"/>
    <w:rsid w:val="001C4E83"/>
    <w:rsid w:val="001C54C2"/>
    <w:rsid w:val="001D0498"/>
    <w:rsid w:val="001D0DCC"/>
    <w:rsid w:val="001D212E"/>
    <w:rsid w:val="001D2642"/>
    <w:rsid w:val="001D2659"/>
    <w:rsid w:val="001D3E8F"/>
    <w:rsid w:val="001E0501"/>
    <w:rsid w:val="001E10B3"/>
    <w:rsid w:val="001E267A"/>
    <w:rsid w:val="001E2E36"/>
    <w:rsid w:val="001E33E9"/>
    <w:rsid w:val="001E46A3"/>
    <w:rsid w:val="001E5739"/>
    <w:rsid w:val="001E5C68"/>
    <w:rsid w:val="001E6F84"/>
    <w:rsid w:val="001E6FC3"/>
    <w:rsid w:val="001E7489"/>
    <w:rsid w:val="001F1457"/>
    <w:rsid w:val="001F41E6"/>
    <w:rsid w:val="001F60C4"/>
    <w:rsid w:val="001F62B1"/>
    <w:rsid w:val="002009F3"/>
    <w:rsid w:val="00205AFD"/>
    <w:rsid w:val="00205FB3"/>
    <w:rsid w:val="00206B67"/>
    <w:rsid w:val="00207217"/>
    <w:rsid w:val="0021078C"/>
    <w:rsid w:val="00210B75"/>
    <w:rsid w:val="00210ECB"/>
    <w:rsid w:val="00214F0B"/>
    <w:rsid w:val="00217EC5"/>
    <w:rsid w:val="0022019A"/>
    <w:rsid w:val="00221EA9"/>
    <w:rsid w:val="00225F21"/>
    <w:rsid w:val="00226B93"/>
    <w:rsid w:val="00230FE1"/>
    <w:rsid w:val="002313C9"/>
    <w:rsid w:val="00231CDB"/>
    <w:rsid w:val="0023598C"/>
    <w:rsid w:val="00237B3A"/>
    <w:rsid w:val="00244F9D"/>
    <w:rsid w:val="00245738"/>
    <w:rsid w:val="00245A4C"/>
    <w:rsid w:val="00245F00"/>
    <w:rsid w:val="002470E8"/>
    <w:rsid w:val="002475C5"/>
    <w:rsid w:val="00250666"/>
    <w:rsid w:val="00251417"/>
    <w:rsid w:val="0025496A"/>
    <w:rsid w:val="00254D41"/>
    <w:rsid w:val="002575DB"/>
    <w:rsid w:val="0026019E"/>
    <w:rsid w:val="002608FC"/>
    <w:rsid w:val="00260A6C"/>
    <w:rsid w:val="00272483"/>
    <w:rsid w:val="002750CC"/>
    <w:rsid w:val="002755C6"/>
    <w:rsid w:val="00275F4D"/>
    <w:rsid w:val="0027779C"/>
    <w:rsid w:val="00277BB2"/>
    <w:rsid w:val="00280829"/>
    <w:rsid w:val="00281120"/>
    <w:rsid w:val="00283606"/>
    <w:rsid w:val="00286260"/>
    <w:rsid w:val="0029278C"/>
    <w:rsid w:val="002A0CA7"/>
    <w:rsid w:val="002A0FEB"/>
    <w:rsid w:val="002A2D16"/>
    <w:rsid w:val="002A3046"/>
    <w:rsid w:val="002A50D2"/>
    <w:rsid w:val="002A59ED"/>
    <w:rsid w:val="002A5ABF"/>
    <w:rsid w:val="002A634B"/>
    <w:rsid w:val="002A7DC2"/>
    <w:rsid w:val="002B0EFE"/>
    <w:rsid w:val="002B148D"/>
    <w:rsid w:val="002B1C5D"/>
    <w:rsid w:val="002B2E36"/>
    <w:rsid w:val="002B5578"/>
    <w:rsid w:val="002B5B4C"/>
    <w:rsid w:val="002B5D8E"/>
    <w:rsid w:val="002B76BF"/>
    <w:rsid w:val="002B79B7"/>
    <w:rsid w:val="002B7D0D"/>
    <w:rsid w:val="002C378F"/>
    <w:rsid w:val="002C4D66"/>
    <w:rsid w:val="002D047B"/>
    <w:rsid w:val="002D167C"/>
    <w:rsid w:val="002D21E5"/>
    <w:rsid w:val="002D4294"/>
    <w:rsid w:val="002D42F6"/>
    <w:rsid w:val="002D5050"/>
    <w:rsid w:val="002D56C6"/>
    <w:rsid w:val="002D6635"/>
    <w:rsid w:val="002E227B"/>
    <w:rsid w:val="002E276E"/>
    <w:rsid w:val="002E2CE5"/>
    <w:rsid w:val="002E4759"/>
    <w:rsid w:val="002E4C18"/>
    <w:rsid w:val="002E52BF"/>
    <w:rsid w:val="002E539A"/>
    <w:rsid w:val="002E7A9C"/>
    <w:rsid w:val="002F0EAF"/>
    <w:rsid w:val="002F2484"/>
    <w:rsid w:val="002F4686"/>
    <w:rsid w:val="002F607A"/>
    <w:rsid w:val="002F6FFF"/>
    <w:rsid w:val="002F717A"/>
    <w:rsid w:val="002F7894"/>
    <w:rsid w:val="00300A6F"/>
    <w:rsid w:val="00301199"/>
    <w:rsid w:val="003028DF"/>
    <w:rsid w:val="003058BE"/>
    <w:rsid w:val="00305ED0"/>
    <w:rsid w:val="00314E56"/>
    <w:rsid w:val="003162EA"/>
    <w:rsid w:val="003221DF"/>
    <w:rsid w:val="00331F3E"/>
    <w:rsid w:val="003324A5"/>
    <w:rsid w:val="00334BC2"/>
    <w:rsid w:val="00334F84"/>
    <w:rsid w:val="00336D6F"/>
    <w:rsid w:val="00342584"/>
    <w:rsid w:val="00344DC1"/>
    <w:rsid w:val="003472ED"/>
    <w:rsid w:val="0035034D"/>
    <w:rsid w:val="00351F4D"/>
    <w:rsid w:val="003529F4"/>
    <w:rsid w:val="0035358F"/>
    <w:rsid w:val="00353DA7"/>
    <w:rsid w:val="0035580C"/>
    <w:rsid w:val="00355B3C"/>
    <w:rsid w:val="00355DB6"/>
    <w:rsid w:val="00361DA4"/>
    <w:rsid w:val="003640EF"/>
    <w:rsid w:val="003645DF"/>
    <w:rsid w:val="0036617D"/>
    <w:rsid w:val="003670B2"/>
    <w:rsid w:val="003722D4"/>
    <w:rsid w:val="00372BEC"/>
    <w:rsid w:val="00373735"/>
    <w:rsid w:val="00376B43"/>
    <w:rsid w:val="00376C34"/>
    <w:rsid w:val="00376DD7"/>
    <w:rsid w:val="00376F38"/>
    <w:rsid w:val="00384C75"/>
    <w:rsid w:val="0039478C"/>
    <w:rsid w:val="00395F47"/>
    <w:rsid w:val="0039708C"/>
    <w:rsid w:val="003A3629"/>
    <w:rsid w:val="003A43B6"/>
    <w:rsid w:val="003B04FE"/>
    <w:rsid w:val="003B11F1"/>
    <w:rsid w:val="003B301C"/>
    <w:rsid w:val="003B4002"/>
    <w:rsid w:val="003B41F4"/>
    <w:rsid w:val="003B4DDD"/>
    <w:rsid w:val="003C2F3E"/>
    <w:rsid w:val="003C4057"/>
    <w:rsid w:val="003C4D18"/>
    <w:rsid w:val="003C5E66"/>
    <w:rsid w:val="003C7017"/>
    <w:rsid w:val="003C7508"/>
    <w:rsid w:val="003C7AD2"/>
    <w:rsid w:val="003D0DF2"/>
    <w:rsid w:val="003D18F2"/>
    <w:rsid w:val="003D2F2A"/>
    <w:rsid w:val="003D3AF3"/>
    <w:rsid w:val="003D4A9E"/>
    <w:rsid w:val="003D5DA7"/>
    <w:rsid w:val="003D6165"/>
    <w:rsid w:val="003D660F"/>
    <w:rsid w:val="003D77DC"/>
    <w:rsid w:val="003D7DE3"/>
    <w:rsid w:val="003E093F"/>
    <w:rsid w:val="003E46C8"/>
    <w:rsid w:val="003E59E1"/>
    <w:rsid w:val="003E5D7D"/>
    <w:rsid w:val="003E6AE4"/>
    <w:rsid w:val="003E6DB0"/>
    <w:rsid w:val="003E6E43"/>
    <w:rsid w:val="003E7D62"/>
    <w:rsid w:val="003F0E52"/>
    <w:rsid w:val="003F14A4"/>
    <w:rsid w:val="003F46B2"/>
    <w:rsid w:val="003F7D77"/>
    <w:rsid w:val="00400487"/>
    <w:rsid w:val="00401AD2"/>
    <w:rsid w:val="0040293A"/>
    <w:rsid w:val="00403FBB"/>
    <w:rsid w:val="00404745"/>
    <w:rsid w:val="00407E0D"/>
    <w:rsid w:val="00413305"/>
    <w:rsid w:val="004134CF"/>
    <w:rsid w:val="00413C4E"/>
    <w:rsid w:val="00416CCA"/>
    <w:rsid w:val="004172AB"/>
    <w:rsid w:val="004178C1"/>
    <w:rsid w:val="00420B2F"/>
    <w:rsid w:val="00425FE7"/>
    <w:rsid w:val="00427078"/>
    <w:rsid w:val="00427A78"/>
    <w:rsid w:val="0043038A"/>
    <w:rsid w:val="00430FF6"/>
    <w:rsid w:val="004310B2"/>
    <w:rsid w:val="004320B3"/>
    <w:rsid w:val="0043316B"/>
    <w:rsid w:val="00433BCD"/>
    <w:rsid w:val="00434200"/>
    <w:rsid w:val="0043562B"/>
    <w:rsid w:val="00436027"/>
    <w:rsid w:val="0043616B"/>
    <w:rsid w:val="004361EF"/>
    <w:rsid w:val="00436F76"/>
    <w:rsid w:val="0044010F"/>
    <w:rsid w:val="004447E6"/>
    <w:rsid w:val="00446868"/>
    <w:rsid w:val="00447F1E"/>
    <w:rsid w:val="004501A4"/>
    <w:rsid w:val="00450997"/>
    <w:rsid w:val="00452FD9"/>
    <w:rsid w:val="0045462F"/>
    <w:rsid w:val="004560B8"/>
    <w:rsid w:val="00456C59"/>
    <w:rsid w:val="00457979"/>
    <w:rsid w:val="00457C98"/>
    <w:rsid w:val="0046027C"/>
    <w:rsid w:val="0046033E"/>
    <w:rsid w:val="00460982"/>
    <w:rsid w:val="00461DDE"/>
    <w:rsid w:val="004640D8"/>
    <w:rsid w:val="00464466"/>
    <w:rsid w:val="004646EA"/>
    <w:rsid w:val="00464EA1"/>
    <w:rsid w:val="00464F5D"/>
    <w:rsid w:val="00470E83"/>
    <w:rsid w:val="004711CE"/>
    <w:rsid w:val="00472D08"/>
    <w:rsid w:val="0047367E"/>
    <w:rsid w:val="00476B85"/>
    <w:rsid w:val="00477189"/>
    <w:rsid w:val="00477B5C"/>
    <w:rsid w:val="00481EE5"/>
    <w:rsid w:val="004845F7"/>
    <w:rsid w:val="00486E35"/>
    <w:rsid w:val="00490B49"/>
    <w:rsid w:val="004916AB"/>
    <w:rsid w:val="00491D0B"/>
    <w:rsid w:val="00492EFE"/>
    <w:rsid w:val="00493D51"/>
    <w:rsid w:val="004945CA"/>
    <w:rsid w:val="00494B37"/>
    <w:rsid w:val="0049597C"/>
    <w:rsid w:val="00495BC4"/>
    <w:rsid w:val="004A1B6B"/>
    <w:rsid w:val="004A3FFB"/>
    <w:rsid w:val="004A438B"/>
    <w:rsid w:val="004A51D4"/>
    <w:rsid w:val="004A74D7"/>
    <w:rsid w:val="004B0605"/>
    <w:rsid w:val="004B0A44"/>
    <w:rsid w:val="004B0D06"/>
    <w:rsid w:val="004B1B6E"/>
    <w:rsid w:val="004B6793"/>
    <w:rsid w:val="004B6C27"/>
    <w:rsid w:val="004C0D30"/>
    <w:rsid w:val="004C1487"/>
    <w:rsid w:val="004C39C4"/>
    <w:rsid w:val="004C3F37"/>
    <w:rsid w:val="004C4998"/>
    <w:rsid w:val="004C6F3B"/>
    <w:rsid w:val="004C7E8E"/>
    <w:rsid w:val="004D201C"/>
    <w:rsid w:val="004D3F76"/>
    <w:rsid w:val="004D462F"/>
    <w:rsid w:val="004D4F20"/>
    <w:rsid w:val="004D5A2E"/>
    <w:rsid w:val="004D6419"/>
    <w:rsid w:val="004D6558"/>
    <w:rsid w:val="004D6FCE"/>
    <w:rsid w:val="004D7507"/>
    <w:rsid w:val="004D7AB8"/>
    <w:rsid w:val="004E01D0"/>
    <w:rsid w:val="004E26CD"/>
    <w:rsid w:val="004E393A"/>
    <w:rsid w:val="004E662B"/>
    <w:rsid w:val="004E6C3B"/>
    <w:rsid w:val="004F03F9"/>
    <w:rsid w:val="004F2EFB"/>
    <w:rsid w:val="004F30ED"/>
    <w:rsid w:val="004F378B"/>
    <w:rsid w:val="004F4007"/>
    <w:rsid w:val="004F6756"/>
    <w:rsid w:val="004F6946"/>
    <w:rsid w:val="004F7245"/>
    <w:rsid w:val="004F73D6"/>
    <w:rsid w:val="00500645"/>
    <w:rsid w:val="00501159"/>
    <w:rsid w:val="00501509"/>
    <w:rsid w:val="0050200D"/>
    <w:rsid w:val="005057D7"/>
    <w:rsid w:val="00510F77"/>
    <w:rsid w:val="005123A9"/>
    <w:rsid w:val="00514044"/>
    <w:rsid w:val="00516FB5"/>
    <w:rsid w:val="0051701F"/>
    <w:rsid w:val="00517F7B"/>
    <w:rsid w:val="005224CB"/>
    <w:rsid w:val="00523842"/>
    <w:rsid w:val="00525257"/>
    <w:rsid w:val="00527174"/>
    <w:rsid w:val="00531B98"/>
    <w:rsid w:val="00533463"/>
    <w:rsid w:val="00535056"/>
    <w:rsid w:val="00535BF7"/>
    <w:rsid w:val="00536522"/>
    <w:rsid w:val="00536614"/>
    <w:rsid w:val="005376C9"/>
    <w:rsid w:val="0054300A"/>
    <w:rsid w:val="00545231"/>
    <w:rsid w:val="00546216"/>
    <w:rsid w:val="00551486"/>
    <w:rsid w:val="005517EC"/>
    <w:rsid w:val="00553AD5"/>
    <w:rsid w:val="005551F8"/>
    <w:rsid w:val="00555541"/>
    <w:rsid w:val="00556CF5"/>
    <w:rsid w:val="00560BCA"/>
    <w:rsid w:val="005617AB"/>
    <w:rsid w:val="0056386F"/>
    <w:rsid w:val="00563D12"/>
    <w:rsid w:val="00564895"/>
    <w:rsid w:val="00564949"/>
    <w:rsid w:val="00565938"/>
    <w:rsid w:val="00567598"/>
    <w:rsid w:val="005676D0"/>
    <w:rsid w:val="00567D2F"/>
    <w:rsid w:val="0057036B"/>
    <w:rsid w:val="005764BE"/>
    <w:rsid w:val="00576712"/>
    <w:rsid w:val="00577099"/>
    <w:rsid w:val="005802A5"/>
    <w:rsid w:val="005813B8"/>
    <w:rsid w:val="00582E68"/>
    <w:rsid w:val="00583C24"/>
    <w:rsid w:val="00586FC5"/>
    <w:rsid w:val="00587AB2"/>
    <w:rsid w:val="005902CE"/>
    <w:rsid w:val="00592F88"/>
    <w:rsid w:val="00596759"/>
    <w:rsid w:val="00597C7B"/>
    <w:rsid w:val="00597DC6"/>
    <w:rsid w:val="005A1A73"/>
    <w:rsid w:val="005A60BB"/>
    <w:rsid w:val="005A7B2B"/>
    <w:rsid w:val="005B051B"/>
    <w:rsid w:val="005B097E"/>
    <w:rsid w:val="005B2C6B"/>
    <w:rsid w:val="005B417D"/>
    <w:rsid w:val="005B4DBF"/>
    <w:rsid w:val="005B6C5F"/>
    <w:rsid w:val="005B6F30"/>
    <w:rsid w:val="005C08D0"/>
    <w:rsid w:val="005C641D"/>
    <w:rsid w:val="005C7CD1"/>
    <w:rsid w:val="005C7D76"/>
    <w:rsid w:val="005D0797"/>
    <w:rsid w:val="005D272D"/>
    <w:rsid w:val="005D2FC3"/>
    <w:rsid w:val="005D3B27"/>
    <w:rsid w:val="005D5C67"/>
    <w:rsid w:val="005D6741"/>
    <w:rsid w:val="005D692F"/>
    <w:rsid w:val="005D749A"/>
    <w:rsid w:val="005E0FE5"/>
    <w:rsid w:val="005E120A"/>
    <w:rsid w:val="005E17F0"/>
    <w:rsid w:val="005E227C"/>
    <w:rsid w:val="005E4A0B"/>
    <w:rsid w:val="005E76A3"/>
    <w:rsid w:val="005F166A"/>
    <w:rsid w:val="005F5EF4"/>
    <w:rsid w:val="005F617D"/>
    <w:rsid w:val="00600E3A"/>
    <w:rsid w:val="00601635"/>
    <w:rsid w:val="00601ED4"/>
    <w:rsid w:val="0060528C"/>
    <w:rsid w:val="00605D78"/>
    <w:rsid w:val="006134F4"/>
    <w:rsid w:val="00613811"/>
    <w:rsid w:val="00613A4B"/>
    <w:rsid w:val="006153BE"/>
    <w:rsid w:val="00621474"/>
    <w:rsid w:val="00622058"/>
    <w:rsid w:val="006244C6"/>
    <w:rsid w:val="00624C7E"/>
    <w:rsid w:val="00624EA8"/>
    <w:rsid w:val="00625C80"/>
    <w:rsid w:val="00626316"/>
    <w:rsid w:val="00626E8C"/>
    <w:rsid w:val="0063237B"/>
    <w:rsid w:val="00633172"/>
    <w:rsid w:val="0063402C"/>
    <w:rsid w:val="00634B48"/>
    <w:rsid w:val="006351E3"/>
    <w:rsid w:val="00635389"/>
    <w:rsid w:val="006370C8"/>
    <w:rsid w:val="006414B0"/>
    <w:rsid w:val="006423FC"/>
    <w:rsid w:val="00642E88"/>
    <w:rsid w:val="006437DA"/>
    <w:rsid w:val="00643A28"/>
    <w:rsid w:val="006446AF"/>
    <w:rsid w:val="00646902"/>
    <w:rsid w:val="00646DC5"/>
    <w:rsid w:val="00647676"/>
    <w:rsid w:val="006504F4"/>
    <w:rsid w:val="00651584"/>
    <w:rsid w:val="00651B14"/>
    <w:rsid w:val="00652644"/>
    <w:rsid w:val="0065303A"/>
    <w:rsid w:val="00653F21"/>
    <w:rsid w:val="00654B9E"/>
    <w:rsid w:val="00655F0B"/>
    <w:rsid w:val="00656041"/>
    <w:rsid w:val="0065662B"/>
    <w:rsid w:val="006576F6"/>
    <w:rsid w:val="00657818"/>
    <w:rsid w:val="006632BA"/>
    <w:rsid w:val="006633D0"/>
    <w:rsid w:val="00666E39"/>
    <w:rsid w:val="00667FB3"/>
    <w:rsid w:val="00670EBC"/>
    <w:rsid w:val="00671133"/>
    <w:rsid w:val="006715E9"/>
    <w:rsid w:val="00672D4E"/>
    <w:rsid w:val="00673DC4"/>
    <w:rsid w:val="006764E3"/>
    <w:rsid w:val="006768D8"/>
    <w:rsid w:val="00676A1E"/>
    <w:rsid w:val="0068338A"/>
    <w:rsid w:val="0068521E"/>
    <w:rsid w:val="0068771E"/>
    <w:rsid w:val="00691C3A"/>
    <w:rsid w:val="00693611"/>
    <w:rsid w:val="00695E6D"/>
    <w:rsid w:val="00696F88"/>
    <w:rsid w:val="0069739F"/>
    <w:rsid w:val="006A2A69"/>
    <w:rsid w:val="006A338E"/>
    <w:rsid w:val="006A4E73"/>
    <w:rsid w:val="006A6304"/>
    <w:rsid w:val="006A6985"/>
    <w:rsid w:val="006B0AAC"/>
    <w:rsid w:val="006B126E"/>
    <w:rsid w:val="006B269A"/>
    <w:rsid w:val="006B444A"/>
    <w:rsid w:val="006B64F9"/>
    <w:rsid w:val="006B6FA6"/>
    <w:rsid w:val="006C036D"/>
    <w:rsid w:val="006C1AC7"/>
    <w:rsid w:val="006C24CD"/>
    <w:rsid w:val="006C2B36"/>
    <w:rsid w:val="006C6008"/>
    <w:rsid w:val="006C6B58"/>
    <w:rsid w:val="006C6C08"/>
    <w:rsid w:val="006D0FA6"/>
    <w:rsid w:val="006D12B7"/>
    <w:rsid w:val="006D1526"/>
    <w:rsid w:val="006D3F1F"/>
    <w:rsid w:val="006D5A52"/>
    <w:rsid w:val="006D5DE6"/>
    <w:rsid w:val="006D6C67"/>
    <w:rsid w:val="006D7249"/>
    <w:rsid w:val="006E1FE6"/>
    <w:rsid w:val="006E3713"/>
    <w:rsid w:val="006E37B2"/>
    <w:rsid w:val="006E7059"/>
    <w:rsid w:val="006F4323"/>
    <w:rsid w:val="006F630A"/>
    <w:rsid w:val="006F67FD"/>
    <w:rsid w:val="00701B65"/>
    <w:rsid w:val="00703567"/>
    <w:rsid w:val="00703A2B"/>
    <w:rsid w:val="00704CF5"/>
    <w:rsid w:val="00706568"/>
    <w:rsid w:val="0071093B"/>
    <w:rsid w:val="00710C43"/>
    <w:rsid w:val="0071521F"/>
    <w:rsid w:val="007155A9"/>
    <w:rsid w:val="007203AE"/>
    <w:rsid w:val="007240F1"/>
    <w:rsid w:val="00724831"/>
    <w:rsid w:val="00731D52"/>
    <w:rsid w:val="00731E6D"/>
    <w:rsid w:val="007336EB"/>
    <w:rsid w:val="00734ACF"/>
    <w:rsid w:val="00734D21"/>
    <w:rsid w:val="0073547F"/>
    <w:rsid w:val="0073664A"/>
    <w:rsid w:val="007378BC"/>
    <w:rsid w:val="00740D15"/>
    <w:rsid w:val="0074377F"/>
    <w:rsid w:val="007437B5"/>
    <w:rsid w:val="00747345"/>
    <w:rsid w:val="0075238B"/>
    <w:rsid w:val="0075385C"/>
    <w:rsid w:val="00755F35"/>
    <w:rsid w:val="0075748C"/>
    <w:rsid w:val="00760F53"/>
    <w:rsid w:val="00762491"/>
    <w:rsid w:val="00762FA2"/>
    <w:rsid w:val="00763AD1"/>
    <w:rsid w:val="007643D9"/>
    <w:rsid w:val="0076595C"/>
    <w:rsid w:val="00765AF3"/>
    <w:rsid w:val="00770137"/>
    <w:rsid w:val="007703C5"/>
    <w:rsid w:val="00771459"/>
    <w:rsid w:val="00772D01"/>
    <w:rsid w:val="00773E3F"/>
    <w:rsid w:val="00774660"/>
    <w:rsid w:val="0078202B"/>
    <w:rsid w:val="0078538D"/>
    <w:rsid w:val="00785C68"/>
    <w:rsid w:val="007864D0"/>
    <w:rsid w:val="00787F5C"/>
    <w:rsid w:val="00790DB2"/>
    <w:rsid w:val="00791A6C"/>
    <w:rsid w:val="00792392"/>
    <w:rsid w:val="00794E49"/>
    <w:rsid w:val="00795068"/>
    <w:rsid w:val="00796391"/>
    <w:rsid w:val="00796BB4"/>
    <w:rsid w:val="00797D93"/>
    <w:rsid w:val="007A0679"/>
    <w:rsid w:val="007A1CF7"/>
    <w:rsid w:val="007A21BB"/>
    <w:rsid w:val="007A436B"/>
    <w:rsid w:val="007A538E"/>
    <w:rsid w:val="007A72CD"/>
    <w:rsid w:val="007B0DC6"/>
    <w:rsid w:val="007B1EF2"/>
    <w:rsid w:val="007B3247"/>
    <w:rsid w:val="007B47D9"/>
    <w:rsid w:val="007B49BA"/>
    <w:rsid w:val="007B5217"/>
    <w:rsid w:val="007B586E"/>
    <w:rsid w:val="007B5DB1"/>
    <w:rsid w:val="007B707F"/>
    <w:rsid w:val="007B787B"/>
    <w:rsid w:val="007C10AA"/>
    <w:rsid w:val="007C1A23"/>
    <w:rsid w:val="007C65B3"/>
    <w:rsid w:val="007C7130"/>
    <w:rsid w:val="007D01A1"/>
    <w:rsid w:val="007D0854"/>
    <w:rsid w:val="007D0D5D"/>
    <w:rsid w:val="007D1980"/>
    <w:rsid w:val="007D1A9C"/>
    <w:rsid w:val="007D1C9F"/>
    <w:rsid w:val="007D266F"/>
    <w:rsid w:val="007D3AF3"/>
    <w:rsid w:val="007D4CCC"/>
    <w:rsid w:val="007D55D6"/>
    <w:rsid w:val="007D6227"/>
    <w:rsid w:val="007D6F3E"/>
    <w:rsid w:val="007D7821"/>
    <w:rsid w:val="007E3125"/>
    <w:rsid w:val="007E4E96"/>
    <w:rsid w:val="007E69F2"/>
    <w:rsid w:val="007E750E"/>
    <w:rsid w:val="007E76F1"/>
    <w:rsid w:val="007E7C69"/>
    <w:rsid w:val="007F191F"/>
    <w:rsid w:val="007F1E1E"/>
    <w:rsid w:val="007F29B3"/>
    <w:rsid w:val="007F3B63"/>
    <w:rsid w:val="007F4944"/>
    <w:rsid w:val="007F60FB"/>
    <w:rsid w:val="007F754D"/>
    <w:rsid w:val="00803599"/>
    <w:rsid w:val="00804EBC"/>
    <w:rsid w:val="008051CF"/>
    <w:rsid w:val="008069B8"/>
    <w:rsid w:val="008071F6"/>
    <w:rsid w:val="00814550"/>
    <w:rsid w:val="00816231"/>
    <w:rsid w:val="008167BE"/>
    <w:rsid w:val="00816883"/>
    <w:rsid w:val="008168A3"/>
    <w:rsid w:val="008175E8"/>
    <w:rsid w:val="00817624"/>
    <w:rsid w:val="00821D07"/>
    <w:rsid w:val="0082483D"/>
    <w:rsid w:val="00826534"/>
    <w:rsid w:val="00826E30"/>
    <w:rsid w:val="00831C38"/>
    <w:rsid w:val="008373E7"/>
    <w:rsid w:val="008407DB"/>
    <w:rsid w:val="00840860"/>
    <w:rsid w:val="00840AFD"/>
    <w:rsid w:val="008413CC"/>
    <w:rsid w:val="008416B3"/>
    <w:rsid w:val="00841ABB"/>
    <w:rsid w:val="00843109"/>
    <w:rsid w:val="00843230"/>
    <w:rsid w:val="00844BCD"/>
    <w:rsid w:val="00844E8B"/>
    <w:rsid w:val="008457C0"/>
    <w:rsid w:val="00845D52"/>
    <w:rsid w:val="0084752A"/>
    <w:rsid w:val="008505B6"/>
    <w:rsid w:val="008512B6"/>
    <w:rsid w:val="008519CC"/>
    <w:rsid w:val="008520F5"/>
    <w:rsid w:val="0085488A"/>
    <w:rsid w:val="0085535E"/>
    <w:rsid w:val="00855688"/>
    <w:rsid w:val="008565B2"/>
    <w:rsid w:val="00856D37"/>
    <w:rsid w:val="00857409"/>
    <w:rsid w:val="00857687"/>
    <w:rsid w:val="008601C4"/>
    <w:rsid w:val="008619CF"/>
    <w:rsid w:val="00862F15"/>
    <w:rsid w:val="008637BA"/>
    <w:rsid w:val="0086396D"/>
    <w:rsid w:val="00864966"/>
    <w:rsid w:val="008655C8"/>
    <w:rsid w:val="0087009D"/>
    <w:rsid w:val="00871107"/>
    <w:rsid w:val="008753FC"/>
    <w:rsid w:val="00875AD0"/>
    <w:rsid w:val="0087719F"/>
    <w:rsid w:val="008807A9"/>
    <w:rsid w:val="00884982"/>
    <w:rsid w:val="008853D1"/>
    <w:rsid w:val="00885D0F"/>
    <w:rsid w:val="00886B86"/>
    <w:rsid w:val="00890F96"/>
    <w:rsid w:val="008928C9"/>
    <w:rsid w:val="00893D57"/>
    <w:rsid w:val="008945A4"/>
    <w:rsid w:val="00894EFE"/>
    <w:rsid w:val="00895F7E"/>
    <w:rsid w:val="00896CDF"/>
    <w:rsid w:val="008A146B"/>
    <w:rsid w:val="008A3359"/>
    <w:rsid w:val="008A3D50"/>
    <w:rsid w:val="008A44AC"/>
    <w:rsid w:val="008A4FD5"/>
    <w:rsid w:val="008A5AB1"/>
    <w:rsid w:val="008A6F51"/>
    <w:rsid w:val="008A7CDF"/>
    <w:rsid w:val="008B0624"/>
    <w:rsid w:val="008B1734"/>
    <w:rsid w:val="008B22A2"/>
    <w:rsid w:val="008B2E59"/>
    <w:rsid w:val="008B31B1"/>
    <w:rsid w:val="008B450D"/>
    <w:rsid w:val="008B482B"/>
    <w:rsid w:val="008B51D3"/>
    <w:rsid w:val="008B5CB9"/>
    <w:rsid w:val="008B693A"/>
    <w:rsid w:val="008B6AF8"/>
    <w:rsid w:val="008B6C7C"/>
    <w:rsid w:val="008B72E0"/>
    <w:rsid w:val="008B756F"/>
    <w:rsid w:val="008B78DA"/>
    <w:rsid w:val="008C02C1"/>
    <w:rsid w:val="008C617E"/>
    <w:rsid w:val="008D0B6E"/>
    <w:rsid w:val="008D38DF"/>
    <w:rsid w:val="008D4272"/>
    <w:rsid w:val="008D4E8D"/>
    <w:rsid w:val="008D688D"/>
    <w:rsid w:val="008D6C88"/>
    <w:rsid w:val="008D74C4"/>
    <w:rsid w:val="008E054F"/>
    <w:rsid w:val="008E2F6F"/>
    <w:rsid w:val="008E3417"/>
    <w:rsid w:val="008E3BB9"/>
    <w:rsid w:val="008E58CB"/>
    <w:rsid w:val="008E7266"/>
    <w:rsid w:val="008E755C"/>
    <w:rsid w:val="008E7C44"/>
    <w:rsid w:val="008F04B5"/>
    <w:rsid w:val="008F0502"/>
    <w:rsid w:val="008F0AEC"/>
    <w:rsid w:val="008F1927"/>
    <w:rsid w:val="008F21B7"/>
    <w:rsid w:val="008F21FE"/>
    <w:rsid w:val="008F3BAA"/>
    <w:rsid w:val="008F3D8F"/>
    <w:rsid w:val="008F533E"/>
    <w:rsid w:val="008F68A2"/>
    <w:rsid w:val="0090031D"/>
    <w:rsid w:val="00900997"/>
    <w:rsid w:val="009033A4"/>
    <w:rsid w:val="00904779"/>
    <w:rsid w:val="00905250"/>
    <w:rsid w:val="00905256"/>
    <w:rsid w:val="00905B8B"/>
    <w:rsid w:val="009074F8"/>
    <w:rsid w:val="00907EFB"/>
    <w:rsid w:val="0091054E"/>
    <w:rsid w:val="00911054"/>
    <w:rsid w:val="009129BD"/>
    <w:rsid w:val="009147BD"/>
    <w:rsid w:val="00914E08"/>
    <w:rsid w:val="0091706D"/>
    <w:rsid w:val="0092043F"/>
    <w:rsid w:val="0092145A"/>
    <w:rsid w:val="00921897"/>
    <w:rsid w:val="00921BA8"/>
    <w:rsid w:val="00923883"/>
    <w:rsid w:val="0092451A"/>
    <w:rsid w:val="009248A3"/>
    <w:rsid w:val="0092585A"/>
    <w:rsid w:val="00925BCB"/>
    <w:rsid w:val="00926FAB"/>
    <w:rsid w:val="00926FD2"/>
    <w:rsid w:val="00930438"/>
    <w:rsid w:val="00930642"/>
    <w:rsid w:val="00930C10"/>
    <w:rsid w:val="009329F0"/>
    <w:rsid w:val="00933DCA"/>
    <w:rsid w:val="009405E5"/>
    <w:rsid w:val="00942E15"/>
    <w:rsid w:val="00944A05"/>
    <w:rsid w:val="0094621B"/>
    <w:rsid w:val="009509D0"/>
    <w:rsid w:val="00952BDB"/>
    <w:rsid w:val="00953089"/>
    <w:rsid w:val="00955A8E"/>
    <w:rsid w:val="00956967"/>
    <w:rsid w:val="00960C00"/>
    <w:rsid w:val="009615A9"/>
    <w:rsid w:val="009616F6"/>
    <w:rsid w:val="00961CF2"/>
    <w:rsid w:val="00962DFB"/>
    <w:rsid w:val="009651C0"/>
    <w:rsid w:val="00965E39"/>
    <w:rsid w:val="009701ED"/>
    <w:rsid w:val="00973C78"/>
    <w:rsid w:val="009748B8"/>
    <w:rsid w:val="00976428"/>
    <w:rsid w:val="0098148D"/>
    <w:rsid w:val="00982BCC"/>
    <w:rsid w:val="00983D98"/>
    <w:rsid w:val="0098447E"/>
    <w:rsid w:val="00985A22"/>
    <w:rsid w:val="00986D13"/>
    <w:rsid w:val="009876CF"/>
    <w:rsid w:val="00987DDF"/>
    <w:rsid w:val="0099103F"/>
    <w:rsid w:val="009929FF"/>
    <w:rsid w:val="009958FA"/>
    <w:rsid w:val="00995AC7"/>
    <w:rsid w:val="00997A34"/>
    <w:rsid w:val="009A5DD5"/>
    <w:rsid w:val="009B2268"/>
    <w:rsid w:val="009B236C"/>
    <w:rsid w:val="009B3B3D"/>
    <w:rsid w:val="009C05C6"/>
    <w:rsid w:val="009C06D7"/>
    <w:rsid w:val="009C07F8"/>
    <w:rsid w:val="009C1680"/>
    <w:rsid w:val="009C2000"/>
    <w:rsid w:val="009C4D00"/>
    <w:rsid w:val="009C646B"/>
    <w:rsid w:val="009C6D87"/>
    <w:rsid w:val="009D0900"/>
    <w:rsid w:val="009D0A16"/>
    <w:rsid w:val="009D1A37"/>
    <w:rsid w:val="009D1E9C"/>
    <w:rsid w:val="009D3553"/>
    <w:rsid w:val="009D4CE4"/>
    <w:rsid w:val="009D5FB9"/>
    <w:rsid w:val="009D6404"/>
    <w:rsid w:val="009E0DD4"/>
    <w:rsid w:val="009E2E3E"/>
    <w:rsid w:val="009E42EA"/>
    <w:rsid w:val="009E4F1D"/>
    <w:rsid w:val="009F0122"/>
    <w:rsid w:val="009F180F"/>
    <w:rsid w:val="009F33B2"/>
    <w:rsid w:val="009F6150"/>
    <w:rsid w:val="009F7A6A"/>
    <w:rsid w:val="00A036FF"/>
    <w:rsid w:val="00A0391C"/>
    <w:rsid w:val="00A058CF"/>
    <w:rsid w:val="00A05E9A"/>
    <w:rsid w:val="00A062F5"/>
    <w:rsid w:val="00A06E79"/>
    <w:rsid w:val="00A06F1A"/>
    <w:rsid w:val="00A11CC4"/>
    <w:rsid w:val="00A12D6F"/>
    <w:rsid w:val="00A13642"/>
    <w:rsid w:val="00A17675"/>
    <w:rsid w:val="00A17A03"/>
    <w:rsid w:val="00A21BA2"/>
    <w:rsid w:val="00A221E7"/>
    <w:rsid w:val="00A23E7B"/>
    <w:rsid w:val="00A25D60"/>
    <w:rsid w:val="00A27575"/>
    <w:rsid w:val="00A3719C"/>
    <w:rsid w:val="00A3797C"/>
    <w:rsid w:val="00A4041D"/>
    <w:rsid w:val="00A40AAE"/>
    <w:rsid w:val="00A41AF5"/>
    <w:rsid w:val="00A41C8A"/>
    <w:rsid w:val="00A44DF0"/>
    <w:rsid w:val="00A47B32"/>
    <w:rsid w:val="00A47B37"/>
    <w:rsid w:val="00A50024"/>
    <w:rsid w:val="00A54C6C"/>
    <w:rsid w:val="00A56EB0"/>
    <w:rsid w:val="00A60682"/>
    <w:rsid w:val="00A60B63"/>
    <w:rsid w:val="00A6543F"/>
    <w:rsid w:val="00A67538"/>
    <w:rsid w:val="00A67BDF"/>
    <w:rsid w:val="00A67C52"/>
    <w:rsid w:val="00A735DB"/>
    <w:rsid w:val="00A73B21"/>
    <w:rsid w:val="00A74BBA"/>
    <w:rsid w:val="00A772F3"/>
    <w:rsid w:val="00A7799D"/>
    <w:rsid w:val="00A836D8"/>
    <w:rsid w:val="00A8438C"/>
    <w:rsid w:val="00A843A3"/>
    <w:rsid w:val="00A850D2"/>
    <w:rsid w:val="00A862F8"/>
    <w:rsid w:val="00A87C82"/>
    <w:rsid w:val="00A90CC3"/>
    <w:rsid w:val="00A91F34"/>
    <w:rsid w:val="00A93861"/>
    <w:rsid w:val="00A95CCF"/>
    <w:rsid w:val="00A96290"/>
    <w:rsid w:val="00A967B2"/>
    <w:rsid w:val="00A96843"/>
    <w:rsid w:val="00AA05BA"/>
    <w:rsid w:val="00AA0BD2"/>
    <w:rsid w:val="00AA2178"/>
    <w:rsid w:val="00AA3E8B"/>
    <w:rsid w:val="00AA4504"/>
    <w:rsid w:val="00AA48FD"/>
    <w:rsid w:val="00AA7155"/>
    <w:rsid w:val="00AA7F8A"/>
    <w:rsid w:val="00AB064D"/>
    <w:rsid w:val="00AB2228"/>
    <w:rsid w:val="00AB5473"/>
    <w:rsid w:val="00AB698B"/>
    <w:rsid w:val="00AB7F72"/>
    <w:rsid w:val="00AC2264"/>
    <w:rsid w:val="00AC309A"/>
    <w:rsid w:val="00AC3100"/>
    <w:rsid w:val="00AC3CFC"/>
    <w:rsid w:val="00AC4AFC"/>
    <w:rsid w:val="00AC5353"/>
    <w:rsid w:val="00AD223C"/>
    <w:rsid w:val="00AD4682"/>
    <w:rsid w:val="00AD664C"/>
    <w:rsid w:val="00AD69BC"/>
    <w:rsid w:val="00AD6A86"/>
    <w:rsid w:val="00AD6B0E"/>
    <w:rsid w:val="00AD7AAD"/>
    <w:rsid w:val="00AE0A2A"/>
    <w:rsid w:val="00AE1360"/>
    <w:rsid w:val="00AE283E"/>
    <w:rsid w:val="00AE3133"/>
    <w:rsid w:val="00AE3852"/>
    <w:rsid w:val="00AE3BCA"/>
    <w:rsid w:val="00AE5616"/>
    <w:rsid w:val="00AE58A6"/>
    <w:rsid w:val="00AE7E9D"/>
    <w:rsid w:val="00AF3488"/>
    <w:rsid w:val="00AF707E"/>
    <w:rsid w:val="00AF7617"/>
    <w:rsid w:val="00AF7C1F"/>
    <w:rsid w:val="00AF7CF8"/>
    <w:rsid w:val="00B017E2"/>
    <w:rsid w:val="00B058BF"/>
    <w:rsid w:val="00B0600F"/>
    <w:rsid w:val="00B07832"/>
    <w:rsid w:val="00B07F9B"/>
    <w:rsid w:val="00B1111D"/>
    <w:rsid w:val="00B12083"/>
    <w:rsid w:val="00B165FA"/>
    <w:rsid w:val="00B22A89"/>
    <w:rsid w:val="00B22CE0"/>
    <w:rsid w:val="00B25ED1"/>
    <w:rsid w:val="00B265C8"/>
    <w:rsid w:val="00B302E3"/>
    <w:rsid w:val="00B305C7"/>
    <w:rsid w:val="00B31E97"/>
    <w:rsid w:val="00B330CB"/>
    <w:rsid w:val="00B33893"/>
    <w:rsid w:val="00B406DB"/>
    <w:rsid w:val="00B40BDA"/>
    <w:rsid w:val="00B4135A"/>
    <w:rsid w:val="00B44FD9"/>
    <w:rsid w:val="00B46E47"/>
    <w:rsid w:val="00B51209"/>
    <w:rsid w:val="00B52ABE"/>
    <w:rsid w:val="00B53D13"/>
    <w:rsid w:val="00B612E1"/>
    <w:rsid w:val="00B62060"/>
    <w:rsid w:val="00B63A19"/>
    <w:rsid w:val="00B64218"/>
    <w:rsid w:val="00B6468A"/>
    <w:rsid w:val="00B65772"/>
    <w:rsid w:val="00B6779D"/>
    <w:rsid w:val="00B70A80"/>
    <w:rsid w:val="00B712D3"/>
    <w:rsid w:val="00B75090"/>
    <w:rsid w:val="00B756B2"/>
    <w:rsid w:val="00B75FD8"/>
    <w:rsid w:val="00B77DD9"/>
    <w:rsid w:val="00B848E4"/>
    <w:rsid w:val="00B856C2"/>
    <w:rsid w:val="00B876F7"/>
    <w:rsid w:val="00B87D65"/>
    <w:rsid w:val="00B90FA2"/>
    <w:rsid w:val="00B9226B"/>
    <w:rsid w:val="00B94D9C"/>
    <w:rsid w:val="00B96671"/>
    <w:rsid w:val="00B96E32"/>
    <w:rsid w:val="00B97488"/>
    <w:rsid w:val="00BA1DFD"/>
    <w:rsid w:val="00BA2EC4"/>
    <w:rsid w:val="00BA461A"/>
    <w:rsid w:val="00BA4668"/>
    <w:rsid w:val="00BA4BBC"/>
    <w:rsid w:val="00BA62D0"/>
    <w:rsid w:val="00BA67C1"/>
    <w:rsid w:val="00BA6F34"/>
    <w:rsid w:val="00BA716A"/>
    <w:rsid w:val="00BA77AE"/>
    <w:rsid w:val="00BA7857"/>
    <w:rsid w:val="00BB3284"/>
    <w:rsid w:val="00BB33D5"/>
    <w:rsid w:val="00BB4020"/>
    <w:rsid w:val="00BB6817"/>
    <w:rsid w:val="00BC0C39"/>
    <w:rsid w:val="00BC741A"/>
    <w:rsid w:val="00BD3130"/>
    <w:rsid w:val="00BD38E7"/>
    <w:rsid w:val="00BD3AE2"/>
    <w:rsid w:val="00BE1215"/>
    <w:rsid w:val="00BE3811"/>
    <w:rsid w:val="00BE3908"/>
    <w:rsid w:val="00BE4BEE"/>
    <w:rsid w:val="00BE5361"/>
    <w:rsid w:val="00BF0499"/>
    <w:rsid w:val="00BF0D59"/>
    <w:rsid w:val="00BF0E84"/>
    <w:rsid w:val="00BF3B84"/>
    <w:rsid w:val="00BF6CC6"/>
    <w:rsid w:val="00BF6F16"/>
    <w:rsid w:val="00BF7A0F"/>
    <w:rsid w:val="00C000D1"/>
    <w:rsid w:val="00C02B20"/>
    <w:rsid w:val="00C0476C"/>
    <w:rsid w:val="00C06369"/>
    <w:rsid w:val="00C12E62"/>
    <w:rsid w:val="00C12ED2"/>
    <w:rsid w:val="00C13D56"/>
    <w:rsid w:val="00C15706"/>
    <w:rsid w:val="00C206F7"/>
    <w:rsid w:val="00C24846"/>
    <w:rsid w:val="00C24DBA"/>
    <w:rsid w:val="00C25392"/>
    <w:rsid w:val="00C27B66"/>
    <w:rsid w:val="00C27DA8"/>
    <w:rsid w:val="00C30E22"/>
    <w:rsid w:val="00C3156B"/>
    <w:rsid w:val="00C31EF5"/>
    <w:rsid w:val="00C348A4"/>
    <w:rsid w:val="00C35AAB"/>
    <w:rsid w:val="00C368FC"/>
    <w:rsid w:val="00C3779B"/>
    <w:rsid w:val="00C430C7"/>
    <w:rsid w:val="00C43A87"/>
    <w:rsid w:val="00C44FFA"/>
    <w:rsid w:val="00C46A84"/>
    <w:rsid w:val="00C47505"/>
    <w:rsid w:val="00C5010D"/>
    <w:rsid w:val="00C51B32"/>
    <w:rsid w:val="00C51FDA"/>
    <w:rsid w:val="00C5285F"/>
    <w:rsid w:val="00C52E59"/>
    <w:rsid w:val="00C53064"/>
    <w:rsid w:val="00C53463"/>
    <w:rsid w:val="00C5522E"/>
    <w:rsid w:val="00C57064"/>
    <w:rsid w:val="00C57CC7"/>
    <w:rsid w:val="00C607A7"/>
    <w:rsid w:val="00C6184F"/>
    <w:rsid w:val="00C7149F"/>
    <w:rsid w:val="00C73472"/>
    <w:rsid w:val="00C74551"/>
    <w:rsid w:val="00C74DFB"/>
    <w:rsid w:val="00C7717E"/>
    <w:rsid w:val="00C7771B"/>
    <w:rsid w:val="00C806F9"/>
    <w:rsid w:val="00C80F29"/>
    <w:rsid w:val="00C81A75"/>
    <w:rsid w:val="00C81BEE"/>
    <w:rsid w:val="00C8433D"/>
    <w:rsid w:val="00C9024D"/>
    <w:rsid w:val="00C90957"/>
    <w:rsid w:val="00C94675"/>
    <w:rsid w:val="00C95F42"/>
    <w:rsid w:val="00C97BFF"/>
    <w:rsid w:val="00CA00C7"/>
    <w:rsid w:val="00CA06F6"/>
    <w:rsid w:val="00CA1DD2"/>
    <w:rsid w:val="00CA302A"/>
    <w:rsid w:val="00CA34CF"/>
    <w:rsid w:val="00CA5A4A"/>
    <w:rsid w:val="00CA5B27"/>
    <w:rsid w:val="00CA5B90"/>
    <w:rsid w:val="00CA7B30"/>
    <w:rsid w:val="00CB1E48"/>
    <w:rsid w:val="00CB26A3"/>
    <w:rsid w:val="00CB2F23"/>
    <w:rsid w:val="00CC00D7"/>
    <w:rsid w:val="00CC038F"/>
    <w:rsid w:val="00CC077C"/>
    <w:rsid w:val="00CC0E96"/>
    <w:rsid w:val="00CC47EC"/>
    <w:rsid w:val="00CC4D7C"/>
    <w:rsid w:val="00CC6D1B"/>
    <w:rsid w:val="00CC7BA5"/>
    <w:rsid w:val="00CD106D"/>
    <w:rsid w:val="00CD1F32"/>
    <w:rsid w:val="00CD32F9"/>
    <w:rsid w:val="00CD339D"/>
    <w:rsid w:val="00CD4307"/>
    <w:rsid w:val="00CD47E1"/>
    <w:rsid w:val="00CD6F9C"/>
    <w:rsid w:val="00CD73B1"/>
    <w:rsid w:val="00CE146C"/>
    <w:rsid w:val="00CE1751"/>
    <w:rsid w:val="00CE1F90"/>
    <w:rsid w:val="00CE2C81"/>
    <w:rsid w:val="00CE365B"/>
    <w:rsid w:val="00CE45B7"/>
    <w:rsid w:val="00CE63F3"/>
    <w:rsid w:val="00CE7585"/>
    <w:rsid w:val="00CF1794"/>
    <w:rsid w:val="00CF2337"/>
    <w:rsid w:val="00CF52E5"/>
    <w:rsid w:val="00D007DA"/>
    <w:rsid w:val="00D01BE8"/>
    <w:rsid w:val="00D01C77"/>
    <w:rsid w:val="00D01DBD"/>
    <w:rsid w:val="00D0258E"/>
    <w:rsid w:val="00D02A64"/>
    <w:rsid w:val="00D037F5"/>
    <w:rsid w:val="00D04A29"/>
    <w:rsid w:val="00D04C63"/>
    <w:rsid w:val="00D06886"/>
    <w:rsid w:val="00D1129F"/>
    <w:rsid w:val="00D1389A"/>
    <w:rsid w:val="00D14B35"/>
    <w:rsid w:val="00D1670C"/>
    <w:rsid w:val="00D178A0"/>
    <w:rsid w:val="00D2066D"/>
    <w:rsid w:val="00D21494"/>
    <w:rsid w:val="00D21CB0"/>
    <w:rsid w:val="00D2212D"/>
    <w:rsid w:val="00D222EB"/>
    <w:rsid w:val="00D25539"/>
    <w:rsid w:val="00D27223"/>
    <w:rsid w:val="00D27AAE"/>
    <w:rsid w:val="00D3062B"/>
    <w:rsid w:val="00D32920"/>
    <w:rsid w:val="00D32927"/>
    <w:rsid w:val="00D33BA7"/>
    <w:rsid w:val="00D347BD"/>
    <w:rsid w:val="00D367F7"/>
    <w:rsid w:val="00D37804"/>
    <w:rsid w:val="00D40E3E"/>
    <w:rsid w:val="00D41577"/>
    <w:rsid w:val="00D41918"/>
    <w:rsid w:val="00D41DB2"/>
    <w:rsid w:val="00D4650E"/>
    <w:rsid w:val="00D47365"/>
    <w:rsid w:val="00D515C4"/>
    <w:rsid w:val="00D51C2E"/>
    <w:rsid w:val="00D521F0"/>
    <w:rsid w:val="00D530AB"/>
    <w:rsid w:val="00D53702"/>
    <w:rsid w:val="00D5388F"/>
    <w:rsid w:val="00D57180"/>
    <w:rsid w:val="00D608AE"/>
    <w:rsid w:val="00D61800"/>
    <w:rsid w:val="00D623DB"/>
    <w:rsid w:val="00D62596"/>
    <w:rsid w:val="00D64AEE"/>
    <w:rsid w:val="00D716B5"/>
    <w:rsid w:val="00D737DE"/>
    <w:rsid w:val="00D74132"/>
    <w:rsid w:val="00D82B89"/>
    <w:rsid w:val="00D86CAA"/>
    <w:rsid w:val="00D875F5"/>
    <w:rsid w:val="00D87FB5"/>
    <w:rsid w:val="00D904FB"/>
    <w:rsid w:val="00D92A32"/>
    <w:rsid w:val="00D94AA1"/>
    <w:rsid w:val="00D95E20"/>
    <w:rsid w:val="00DA1F6F"/>
    <w:rsid w:val="00DA309B"/>
    <w:rsid w:val="00DA3CC0"/>
    <w:rsid w:val="00DA7036"/>
    <w:rsid w:val="00DA70EF"/>
    <w:rsid w:val="00DA7CDC"/>
    <w:rsid w:val="00DB098E"/>
    <w:rsid w:val="00DB1A1E"/>
    <w:rsid w:val="00DB1FB7"/>
    <w:rsid w:val="00DB2D13"/>
    <w:rsid w:val="00DC1E7B"/>
    <w:rsid w:val="00DC32A4"/>
    <w:rsid w:val="00DC35CE"/>
    <w:rsid w:val="00DC3AF4"/>
    <w:rsid w:val="00DC49F4"/>
    <w:rsid w:val="00DC67F0"/>
    <w:rsid w:val="00DD0F73"/>
    <w:rsid w:val="00DD1E1B"/>
    <w:rsid w:val="00DD3D8D"/>
    <w:rsid w:val="00DD7D42"/>
    <w:rsid w:val="00DE2408"/>
    <w:rsid w:val="00DE55DB"/>
    <w:rsid w:val="00DE6DD6"/>
    <w:rsid w:val="00DE725A"/>
    <w:rsid w:val="00DE7934"/>
    <w:rsid w:val="00DF0178"/>
    <w:rsid w:val="00DF3815"/>
    <w:rsid w:val="00DF4328"/>
    <w:rsid w:val="00DF5997"/>
    <w:rsid w:val="00DF5B55"/>
    <w:rsid w:val="00DF6E33"/>
    <w:rsid w:val="00E0012A"/>
    <w:rsid w:val="00E00461"/>
    <w:rsid w:val="00E02F2F"/>
    <w:rsid w:val="00E0686E"/>
    <w:rsid w:val="00E072F9"/>
    <w:rsid w:val="00E10211"/>
    <w:rsid w:val="00E10EEC"/>
    <w:rsid w:val="00E12055"/>
    <w:rsid w:val="00E124AE"/>
    <w:rsid w:val="00E12566"/>
    <w:rsid w:val="00E129E2"/>
    <w:rsid w:val="00E140D8"/>
    <w:rsid w:val="00E14446"/>
    <w:rsid w:val="00E20D04"/>
    <w:rsid w:val="00E21C03"/>
    <w:rsid w:val="00E2343E"/>
    <w:rsid w:val="00E23AB9"/>
    <w:rsid w:val="00E24FA1"/>
    <w:rsid w:val="00E2675C"/>
    <w:rsid w:val="00E26EB6"/>
    <w:rsid w:val="00E27BE5"/>
    <w:rsid w:val="00E27CDA"/>
    <w:rsid w:val="00E31E1C"/>
    <w:rsid w:val="00E342E4"/>
    <w:rsid w:val="00E354BF"/>
    <w:rsid w:val="00E37126"/>
    <w:rsid w:val="00E41EA5"/>
    <w:rsid w:val="00E4269F"/>
    <w:rsid w:val="00E42FBD"/>
    <w:rsid w:val="00E43630"/>
    <w:rsid w:val="00E436CF"/>
    <w:rsid w:val="00E44DCF"/>
    <w:rsid w:val="00E44DDE"/>
    <w:rsid w:val="00E450CA"/>
    <w:rsid w:val="00E46CFF"/>
    <w:rsid w:val="00E50FA7"/>
    <w:rsid w:val="00E52EBD"/>
    <w:rsid w:val="00E552B4"/>
    <w:rsid w:val="00E55AAD"/>
    <w:rsid w:val="00E56402"/>
    <w:rsid w:val="00E6357A"/>
    <w:rsid w:val="00E635B4"/>
    <w:rsid w:val="00E63668"/>
    <w:rsid w:val="00E638BE"/>
    <w:rsid w:val="00E643CC"/>
    <w:rsid w:val="00E67460"/>
    <w:rsid w:val="00E70578"/>
    <w:rsid w:val="00E70B3C"/>
    <w:rsid w:val="00E70CF8"/>
    <w:rsid w:val="00E72262"/>
    <w:rsid w:val="00E72EE2"/>
    <w:rsid w:val="00E746AF"/>
    <w:rsid w:val="00E77314"/>
    <w:rsid w:val="00E80D16"/>
    <w:rsid w:val="00E81069"/>
    <w:rsid w:val="00E811D0"/>
    <w:rsid w:val="00E85299"/>
    <w:rsid w:val="00E86794"/>
    <w:rsid w:val="00E8682E"/>
    <w:rsid w:val="00E875BB"/>
    <w:rsid w:val="00E876BD"/>
    <w:rsid w:val="00E904F0"/>
    <w:rsid w:val="00E91A2F"/>
    <w:rsid w:val="00E91C64"/>
    <w:rsid w:val="00E9524E"/>
    <w:rsid w:val="00E95803"/>
    <w:rsid w:val="00E95E4E"/>
    <w:rsid w:val="00E9688F"/>
    <w:rsid w:val="00E976B3"/>
    <w:rsid w:val="00EA11E6"/>
    <w:rsid w:val="00EA312C"/>
    <w:rsid w:val="00EA41BB"/>
    <w:rsid w:val="00EA47AD"/>
    <w:rsid w:val="00EA4F0A"/>
    <w:rsid w:val="00EA528D"/>
    <w:rsid w:val="00EA697E"/>
    <w:rsid w:val="00EA6B33"/>
    <w:rsid w:val="00EB13F0"/>
    <w:rsid w:val="00EB2927"/>
    <w:rsid w:val="00EB5590"/>
    <w:rsid w:val="00EB5A75"/>
    <w:rsid w:val="00EC1A0A"/>
    <w:rsid w:val="00EC33F4"/>
    <w:rsid w:val="00EC35E9"/>
    <w:rsid w:val="00EC365D"/>
    <w:rsid w:val="00EC38E3"/>
    <w:rsid w:val="00EC4E0C"/>
    <w:rsid w:val="00EC61F6"/>
    <w:rsid w:val="00EC67DC"/>
    <w:rsid w:val="00EC70BA"/>
    <w:rsid w:val="00ED1236"/>
    <w:rsid w:val="00ED15B5"/>
    <w:rsid w:val="00ED49CF"/>
    <w:rsid w:val="00ED55B7"/>
    <w:rsid w:val="00ED7290"/>
    <w:rsid w:val="00ED7983"/>
    <w:rsid w:val="00EE0308"/>
    <w:rsid w:val="00EE19B4"/>
    <w:rsid w:val="00EE19D4"/>
    <w:rsid w:val="00EE20CC"/>
    <w:rsid w:val="00EE2125"/>
    <w:rsid w:val="00EE2252"/>
    <w:rsid w:val="00EE425F"/>
    <w:rsid w:val="00EE427E"/>
    <w:rsid w:val="00EE5DA4"/>
    <w:rsid w:val="00EE68B5"/>
    <w:rsid w:val="00EF3628"/>
    <w:rsid w:val="00EF3D61"/>
    <w:rsid w:val="00EF5325"/>
    <w:rsid w:val="00EF6F42"/>
    <w:rsid w:val="00EF7F71"/>
    <w:rsid w:val="00F02F81"/>
    <w:rsid w:val="00F0428F"/>
    <w:rsid w:val="00F0435D"/>
    <w:rsid w:val="00F0664F"/>
    <w:rsid w:val="00F06CB4"/>
    <w:rsid w:val="00F134F8"/>
    <w:rsid w:val="00F14324"/>
    <w:rsid w:val="00F14ACE"/>
    <w:rsid w:val="00F14D3A"/>
    <w:rsid w:val="00F15CA8"/>
    <w:rsid w:val="00F2021B"/>
    <w:rsid w:val="00F21191"/>
    <w:rsid w:val="00F219EA"/>
    <w:rsid w:val="00F22D83"/>
    <w:rsid w:val="00F22FA0"/>
    <w:rsid w:val="00F23613"/>
    <w:rsid w:val="00F24EDA"/>
    <w:rsid w:val="00F332B2"/>
    <w:rsid w:val="00F336F6"/>
    <w:rsid w:val="00F33F15"/>
    <w:rsid w:val="00F36FC0"/>
    <w:rsid w:val="00F407A1"/>
    <w:rsid w:val="00F42025"/>
    <w:rsid w:val="00F4250D"/>
    <w:rsid w:val="00F43297"/>
    <w:rsid w:val="00F43DCE"/>
    <w:rsid w:val="00F43FBE"/>
    <w:rsid w:val="00F464CA"/>
    <w:rsid w:val="00F4717D"/>
    <w:rsid w:val="00F51EB0"/>
    <w:rsid w:val="00F540A9"/>
    <w:rsid w:val="00F5421E"/>
    <w:rsid w:val="00F54567"/>
    <w:rsid w:val="00F54764"/>
    <w:rsid w:val="00F57701"/>
    <w:rsid w:val="00F57B26"/>
    <w:rsid w:val="00F62DC6"/>
    <w:rsid w:val="00F631DE"/>
    <w:rsid w:val="00F63390"/>
    <w:rsid w:val="00F63B6D"/>
    <w:rsid w:val="00F64195"/>
    <w:rsid w:val="00F713C7"/>
    <w:rsid w:val="00F736A5"/>
    <w:rsid w:val="00F748E0"/>
    <w:rsid w:val="00F76547"/>
    <w:rsid w:val="00F7743D"/>
    <w:rsid w:val="00F8485D"/>
    <w:rsid w:val="00F875BE"/>
    <w:rsid w:val="00F905C9"/>
    <w:rsid w:val="00F926F8"/>
    <w:rsid w:val="00F95173"/>
    <w:rsid w:val="00F95502"/>
    <w:rsid w:val="00F956E0"/>
    <w:rsid w:val="00F96B55"/>
    <w:rsid w:val="00F97110"/>
    <w:rsid w:val="00F9718A"/>
    <w:rsid w:val="00FA3B10"/>
    <w:rsid w:val="00FA4BFB"/>
    <w:rsid w:val="00FA5044"/>
    <w:rsid w:val="00FA57E9"/>
    <w:rsid w:val="00FA6641"/>
    <w:rsid w:val="00FA6B43"/>
    <w:rsid w:val="00FA79AF"/>
    <w:rsid w:val="00FB0277"/>
    <w:rsid w:val="00FB0FEF"/>
    <w:rsid w:val="00FB3971"/>
    <w:rsid w:val="00FC031A"/>
    <w:rsid w:val="00FC361C"/>
    <w:rsid w:val="00FC4267"/>
    <w:rsid w:val="00FC7700"/>
    <w:rsid w:val="00FD1F04"/>
    <w:rsid w:val="00FD32E1"/>
    <w:rsid w:val="00FD55DC"/>
    <w:rsid w:val="00FD5606"/>
    <w:rsid w:val="00FD6079"/>
    <w:rsid w:val="00FD7B67"/>
    <w:rsid w:val="00FE2ACE"/>
    <w:rsid w:val="00FE33D6"/>
    <w:rsid w:val="00FE3DDC"/>
    <w:rsid w:val="00FE5A40"/>
    <w:rsid w:val="00FE6195"/>
    <w:rsid w:val="00FE68D6"/>
    <w:rsid w:val="00FF231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50C4B"/>
  <w15:chartTrackingRefBased/>
  <w15:docId w15:val="{009EE36B-82A2-432E-9276-20EF9635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9F4"/>
    <w:pPr>
      <w:widowControl w:val="0"/>
      <w:autoSpaceDE w:val="0"/>
      <w:autoSpaceDN w:val="0"/>
      <w:adjustRightInd w:val="0"/>
      <w:spacing w:line="300" w:lineRule="auto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351F4D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351F4D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paragraph" w:styleId="3">
    <w:name w:val="heading 3"/>
    <w:basedOn w:val="a"/>
    <w:next w:val="a"/>
    <w:link w:val="30"/>
    <w:qFormat/>
    <w:rsid w:val="00E072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5A2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711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1F4D"/>
    <w:pPr>
      <w:widowControl w:val="0"/>
      <w:autoSpaceDE w:val="0"/>
      <w:autoSpaceDN w:val="0"/>
      <w:adjustRightInd w:val="0"/>
      <w:spacing w:before="60"/>
      <w:ind w:left="552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351F4D"/>
    <w:pPr>
      <w:spacing w:line="320" w:lineRule="auto"/>
      <w:ind w:left="5480" w:right="400"/>
      <w:jc w:val="center"/>
    </w:pPr>
    <w:rPr>
      <w:b/>
      <w:bCs/>
      <w:szCs w:val="24"/>
    </w:rPr>
  </w:style>
  <w:style w:type="paragraph" w:customStyle="1" w:styleId="10">
    <w:name w:val="Обычный1"/>
    <w:rsid w:val="00351F4D"/>
    <w:pPr>
      <w:widowControl w:val="0"/>
    </w:pPr>
    <w:rPr>
      <w:snapToGrid w:val="0"/>
      <w:lang w:val="ru-RU" w:eastAsia="ru-RU"/>
    </w:rPr>
  </w:style>
  <w:style w:type="paragraph" w:customStyle="1" w:styleId="FR2">
    <w:name w:val="FR2"/>
    <w:rsid w:val="00351F4D"/>
    <w:pPr>
      <w:widowControl w:val="0"/>
      <w:autoSpaceDE w:val="0"/>
      <w:autoSpaceDN w:val="0"/>
      <w:spacing w:line="36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351F4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5">
    <w:name w:val="Emphasis"/>
    <w:qFormat/>
    <w:rsid w:val="00351F4D"/>
    <w:rPr>
      <w:i/>
      <w:iCs/>
    </w:rPr>
  </w:style>
  <w:style w:type="paragraph" w:customStyle="1" w:styleId="11">
    <w:name w:val="Основной текст1"/>
    <w:basedOn w:val="a"/>
    <w:rsid w:val="00351F4D"/>
    <w:pPr>
      <w:autoSpaceDE/>
      <w:autoSpaceDN/>
      <w:adjustRightInd/>
      <w:spacing w:line="336" w:lineRule="auto"/>
    </w:pPr>
    <w:rPr>
      <w:snapToGrid w:val="0"/>
      <w:szCs w:val="20"/>
      <w:lang w:val="ru-RU"/>
    </w:rPr>
  </w:style>
  <w:style w:type="paragraph" w:styleId="a6">
    <w:name w:val="Body Text"/>
    <w:basedOn w:val="a"/>
    <w:link w:val="a7"/>
    <w:rsid w:val="00351F4D"/>
    <w:pPr>
      <w:spacing w:after="120"/>
    </w:pPr>
  </w:style>
  <w:style w:type="paragraph" w:styleId="a8">
    <w:name w:val="Balloon Text"/>
    <w:basedOn w:val="a"/>
    <w:link w:val="a9"/>
    <w:rsid w:val="004C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4C7E8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E85299"/>
    <w:rPr>
      <w:color w:val="0000FF"/>
      <w:u w:val="single"/>
    </w:rPr>
  </w:style>
  <w:style w:type="paragraph" w:styleId="ab">
    <w:name w:val="Body Text Indent"/>
    <w:basedOn w:val="a"/>
    <w:link w:val="ac"/>
    <w:rsid w:val="005764BE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rsid w:val="005764BE"/>
    <w:rPr>
      <w:sz w:val="28"/>
      <w:szCs w:val="28"/>
      <w:lang w:eastAsia="ru-RU"/>
    </w:rPr>
  </w:style>
  <w:style w:type="paragraph" w:styleId="ad">
    <w:name w:val="footer"/>
    <w:basedOn w:val="a"/>
    <w:link w:val="ae"/>
    <w:rsid w:val="00671133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szCs w:val="20"/>
      <w:lang w:val="ru-RU"/>
    </w:rPr>
  </w:style>
  <w:style w:type="character" w:customStyle="1" w:styleId="ae">
    <w:name w:val="Нижній колонтитул Знак"/>
    <w:link w:val="ad"/>
    <w:rsid w:val="00671133"/>
    <w:rPr>
      <w:sz w:val="28"/>
      <w:lang w:val="ru-RU" w:eastAsia="ru-RU"/>
    </w:rPr>
  </w:style>
  <w:style w:type="character" w:customStyle="1" w:styleId="50">
    <w:name w:val="Заголовок 5 Знак"/>
    <w:link w:val="5"/>
    <w:semiHidden/>
    <w:rsid w:val="006711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E072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85A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Основний текст Знак"/>
    <w:link w:val="a6"/>
    <w:rsid w:val="00875AD0"/>
    <w:rPr>
      <w:sz w:val="28"/>
      <w:szCs w:val="28"/>
      <w:lang w:eastAsia="ru-RU"/>
    </w:rPr>
  </w:style>
  <w:style w:type="character" w:styleId="af">
    <w:name w:val="annotation reference"/>
    <w:rsid w:val="00FE68D6"/>
    <w:rPr>
      <w:sz w:val="16"/>
      <w:szCs w:val="16"/>
    </w:rPr>
  </w:style>
  <w:style w:type="paragraph" w:styleId="af0">
    <w:name w:val="annotation text"/>
    <w:basedOn w:val="a"/>
    <w:link w:val="af1"/>
    <w:rsid w:val="00FE68D6"/>
    <w:rPr>
      <w:sz w:val="20"/>
      <w:szCs w:val="20"/>
    </w:rPr>
  </w:style>
  <w:style w:type="character" w:customStyle="1" w:styleId="af1">
    <w:name w:val="Текст примітки Знак"/>
    <w:link w:val="af0"/>
    <w:rsid w:val="00FE68D6"/>
    <w:rPr>
      <w:lang w:eastAsia="ru-RU"/>
    </w:rPr>
  </w:style>
  <w:style w:type="paragraph" w:styleId="af2">
    <w:name w:val="annotation subject"/>
    <w:basedOn w:val="af0"/>
    <w:next w:val="af0"/>
    <w:link w:val="af3"/>
    <w:rsid w:val="00FE68D6"/>
    <w:rPr>
      <w:b/>
      <w:bCs/>
    </w:rPr>
  </w:style>
  <w:style w:type="character" w:customStyle="1" w:styleId="af3">
    <w:name w:val="Тема примітки Знак"/>
    <w:link w:val="af2"/>
    <w:rsid w:val="00FE68D6"/>
    <w:rPr>
      <w:b/>
      <w:bCs/>
      <w:lang w:eastAsia="ru-RU"/>
    </w:rPr>
  </w:style>
  <w:style w:type="table" w:customStyle="1" w:styleId="12">
    <w:name w:val="Обычная таблица1"/>
    <w:uiPriority w:val="99"/>
    <w:semiHidden/>
    <w:rsid w:val="00582E68"/>
    <w:rPr>
      <w:rFonts w:ascii="Calibri" w:eastAsia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2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521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5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57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3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78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93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9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1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19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1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72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3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51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0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55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9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88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49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68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42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7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7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4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707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7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6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83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02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0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9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83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9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8365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8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7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514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84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6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680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79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7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9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63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095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8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38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60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9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418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1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47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830D-8547-4EEE-89F6-042D658C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3691</Words>
  <Characters>26016</Characters>
  <Application>Microsoft Office Word</Application>
  <DocSecurity>0</DocSecurity>
  <Lines>475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company</Company>
  <LinksUpToDate>false</LinksUpToDate>
  <CharactersWithSpaces>29582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omfm_zaivenko</dc:creator>
  <cp:keywords/>
  <dc:description/>
  <cp:lastModifiedBy>Natalia Natalie</cp:lastModifiedBy>
  <cp:revision>4</cp:revision>
  <cp:lastPrinted>2017-01-25T14:48:00Z</cp:lastPrinted>
  <dcterms:created xsi:type="dcterms:W3CDTF">2021-12-28T11:20:00Z</dcterms:created>
  <dcterms:modified xsi:type="dcterms:W3CDTF">2021-12-28T11:23:00Z</dcterms:modified>
</cp:coreProperties>
</file>