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51" w:rsidRPr="005F25CA" w:rsidRDefault="00512251" w:rsidP="002701F5">
      <w:pPr>
        <w:rPr>
          <w:rFonts w:ascii="Times New Roman" w:hAnsi="Times New Roman" w:cs="Times New Roman"/>
          <w:lang w:val="en-US"/>
        </w:rPr>
      </w:pPr>
    </w:p>
    <w:p w:rsidR="00C53DB0" w:rsidRPr="005F25CA" w:rsidRDefault="00C53DB0" w:rsidP="0030480A">
      <w:pPr>
        <w:pStyle w:val="20"/>
        <w:shd w:val="clear" w:color="auto" w:fill="auto"/>
        <w:spacing w:after="0" w:line="240" w:lineRule="auto"/>
        <w:ind w:left="5103"/>
        <w:rPr>
          <w:sz w:val="24"/>
          <w:szCs w:val="24"/>
          <w:lang w:val="en-US"/>
        </w:rPr>
      </w:pPr>
      <w:r w:rsidRPr="005F25CA">
        <w:rPr>
          <w:sz w:val="24"/>
          <w:szCs w:val="24"/>
          <w:lang w:val="en-US"/>
        </w:rPr>
        <w:t>APPROVED</w:t>
      </w:r>
    </w:p>
    <w:p w:rsidR="00C540CB" w:rsidRPr="005F25CA" w:rsidRDefault="00C53DB0" w:rsidP="0030480A">
      <w:pPr>
        <w:pStyle w:val="20"/>
        <w:shd w:val="clear" w:color="auto" w:fill="auto"/>
        <w:spacing w:after="0" w:line="240" w:lineRule="auto"/>
        <w:ind w:left="5103"/>
        <w:rPr>
          <w:sz w:val="24"/>
          <w:szCs w:val="24"/>
          <w:lang w:val="en-US"/>
        </w:rPr>
      </w:pPr>
      <w:r w:rsidRPr="005F25CA">
        <w:rPr>
          <w:sz w:val="24"/>
          <w:szCs w:val="24"/>
          <w:lang w:val="en-US"/>
        </w:rPr>
        <w:t>The Order of Ministry</w:t>
      </w:r>
    </w:p>
    <w:p w:rsidR="00C53DB0" w:rsidRPr="005F25CA" w:rsidRDefault="00C53DB0" w:rsidP="0030480A">
      <w:pPr>
        <w:pStyle w:val="20"/>
        <w:shd w:val="clear" w:color="auto" w:fill="auto"/>
        <w:spacing w:after="0" w:line="240" w:lineRule="auto"/>
        <w:ind w:left="5103"/>
        <w:rPr>
          <w:sz w:val="24"/>
          <w:szCs w:val="24"/>
          <w:lang w:val="en-US"/>
        </w:rPr>
      </w:pPr>
      <w:r w:rsidRPr="005F25CA">
        <w:rPr>
          <w:sz w:val="24"/>
          <w:szCs w:val="24"/>
          <w:lang w:val="en-US"/>
        </w:rPr>
        <w:t>of Health of Ukraine</w:t>
      </w:r>
    </w:p>
    <w:p w:rsidR="00C53DB0" w:rsidRPr="005F25CA" w:rsidRDefault="00C540CB" w:rsidP="0030480A">
      <w:pPr>
        <w:pStyle w:val="20"/>
        <w:shd w:val="clear" w:color="auto" w:fill="auto"/>
        <w:spacing w:after="0" w:line="240" w:lineRule="auto"/>
        <w:ind w:left="5103"/>
        <w:rPr>
          <w:sz w:val="24"/>
          <w:szCs w:val="24"/>
          <w:lang w:val="en-US"/>
        </w:rPr>
      </w:pPr>
      <w:r w:rsidRPr="005F25CA">
        <w:rPr>
          <w:sz w:val="24"/>
          <w:szCs w:val="24"/>
          <w:lang w:val="en-US"/>
        </w:rPr>
        <w:t xml:space="preserve">from </w:t>
      </w:r>
      <w:r w:rsidR="00C53DB0" w:rsidRPr="005F25CA">
        <w:rPr>
          <w:sz w:val="24"/>
          <w:szCs w:val="24"/>
          <w:lang w:val="en-US"/>
        </w:rPr>
        <w:t>13</w:t>
      </w:r>
      <w:r w:rsidRPr="005F25CA">
        <w:rPr>
          <w:sz w:val="24"/>
          <w:szCs w:val="24"/>
          <w:lang w:val="en-US"/>
        </w:rPr>
        <w:t>.</w:t>
      </w:r>
      <w:r w:rsidR="00C53DB0" w:rsidRPr="005F25CA">
        <w:rPr>
          <w:sz w:val="24"/>
          <w:szCs w:val="24"/>
          <w:lang w:val="en-US"/>
        </w:rPr>
        <w:t>02.14 No. 125</w:t>
      </w:r>
    </w:p>
    <w:p w:rsidR="00C53DB0" w:rsidRPr="005F25CA" w:rsidRDefault="00C53DB0" w:rsidP="0030480A">
      <w:pPr>
        <w:pStyle w:val="20"/>
        <w:shd w:val="clear" w:color="auto" w:fill="auto"/>
        <w:spacing w:after="0" w:line="240" w:lineRule="auto"/>
        <w:ind w:left="5103"/>
        <w:rPr>
          <w:sz w:val="24"/>
          <w:szCs w:val="24"/>
          <w:lang w:val="en-US"/>
        </w:rPr>
      </w:pPr>
      <w:r w:rsidRPr="005F25CA">
        <w:rPr>
          <w:sz w:val="24"/>
          <w:szCs w:val="24"/>
          <w:lang w:val="en-US"/>
        </w:rPr>
        <w:t>Registration certificate</w:t>
      </w:r>
    </w:p>
    <w:p w:rsidR="00C53DB0" w:rsidRPr="005F25CA" w:rsidRDefault="00C53DB0" w:rsidP="0030480A">
      <w:pPr>
        <w:pStyle w:val="20"/>
        <w:shd w:val="clear" w:color="auto" w:fill="auto"/>
        <w:spacing w:after="0" w:line="240" w:lineRule="auto"/>
        <w:ind w:left="5103"/>
        <w:rPr>
          <w:sz w:val="24"/>
          <w:szCs w:val="24"/>
          <w:lang w:val="en-US"/>
        </w:rPr>
      </w:pPr>
      <w:r w:rsidRPr="005F25CA">
        <w:rPr>
          <w:sz w:val="24"/>
          <w:szCs w:val="24"/>
          <w:lang w:val="en-US"/>
        </w:rPr>
        <w:t>No. UA/13119/01/01</w:t>
      </w:r>
    </w:p>
    <w:p w:rsidR="00C540CB" w:rsidRPr="005F25CA" w:rsidRDefault="00C540CB" w:rsidP="002701F5">
      <w:pPr>
        <w:pStyle w:val="20"/>
        <w:shd w:val="clear" w:color="auto" w:fill="auto"/>
        <w:spacing w:after="0" w:line="240" w:lineRule="auto"/>
        <w:rPr>
          <w:sz w:val="24"/>
          <w:szCs w:val="24"/>
          <w:lang w:val="en-US"/>
        </w:rPr>
      </w:pPr>
    </w:p>
    <w:p w:rsidR="00C53DB0" w:rsidRPr="005F25CA" w:rsidRDefault="00C53DB0" w:rsidP="002701F5">
      <w:pPr>
        <w:pStyle w:val="20"/>
        <w:shd w:val="clear" w:color="auto" w:fill="auto"/>
        <w:spacing w:after="0" w:line="240" w:lineRule="auto"/>
        <w:rPr>
          <w:sz w:val="24"/>
          <w:szCs w:val="24"/>
          <w:lang w:val="en-US"/>
        </w:rPr>
      </w:pPr>
      <w:r w:rsidRPr="005F25CA">
        <w:rPr>
          <w:sz w:val="24"/>
          <w:szCs w:val="24"/>
          <w:lang w:val="en-US"/>
        </w:rPr>
        <w:t>INSTRUCTION</w:t>
      </w:r>
      <w:r w:rsidR="00D36A8D" w:rsidRPr="005F25CA">
        <w:rPr>
          <w:sz w:val="24"/>
          <w:szCs w:val="24"/>
          <w:lang w:val="en-US"/>
        </w:rPr>
        <w:t xml:space="preserve"> </w:t>
      </w:r>
    </w:p>
    <w:p w:rsidR="00512251" w:rsidRPr="005F25CA" w:rsidRDefault="00C53DB0" w:rsidP="002701F5">
      <w:pPr>
        <w:pStyle w:val="20"/>
        <w:shd w:val="clear" w:color="auto" w:fill="auto"/>
        <w:spacing w:after="0" w:line="240" w:lineRule="auto"/>
        <w:rPr>
          <w:sz w:val="24"/>
          <w:szCs w:val="24"/>
          <w:lang w:val="en-US"/>
        </w:rPr>
      </w:pPr>
      <w:proofErr w:type="gramStart"/>
      <w:r w:rsidRPr="005F25CA">
        <w:rPr>
          <w:sz w:val="24"/>
          <w:szCs w:val="24"/>
          <w:lang w:val="en-US"/>
        </w:rPr>
        <w:t>for</w:t>
      </w:r>
      <w:proofErr w:type="gramEnd"/>
      <w:r w:rsidRPr="005F25CA">
        <w:rPr>
          <w:sz w:val="24"/>
          <w:szCs w:val="24"/>
          <w:lang w:val="en-US"/>
        </w:rPr>
        <w:t xml:space="preserve"> medical </w:t>
      </w:r>
      <w:r w:rsidR="00E04BD8">
        <w:rPr>
          <w:sz w:val="24"/>
          <w:szCs w:val="24"/>
          <w:lang w:val="en-US"/>
        </w:rPr>
        <w:t>use</w:t>
      </w:r>
      <w:r w:rsidRPr="005F25CA">
        <w:rPr>
          <w:sz w:val="24"/>
          <w:szCs w:val="24"/>
          <w:lang w:val="en-US"/>
        </w:rPr>
        <w:t xml:space="preserve"> of medicinal product</w:t>
      </w:r>
    </w:p>
    <w:p w:rsidR="00512251" w:rsidRPr="005F25CA" w:rsidRDefault="00C53DB0" w:rsidP="002701F5">
      <w:pPr>
        <w:pStyle w:val="20"/>
        <w:shd w:val="clear" w:color="auto" w:fill="auto"/>
        <w:spacing w:after="0" w:line="240" w:lineRule="auto"/>
        <w:rPr>
          <w:sz w:val="24"/>
          <w:szCs w:val="24"/>
          <w:lang w:val="en-US"/>
        </w:rPr>
      </w:pPr>
      <w:r w:rsidRPr="005F25CA">
        <w:rPr>
          <w:sz w:val="24"/>
          <w:szCs w:val="24"/>
          <w:lang w:val="en-US"/>
        </w:rPr>
        <w:t>FLENOX®</w:t>
      </w:r>
    </w:p>
    <w:p w:rsidR="00512251" w:rsidRPr="005F25CA" w:rsidRDefault="00512251" w:rsidP="002701F5">
      <w:pPr>
        <w:pStyle w:val="10"/>
        <w:keepNext/>
        <w:keepLines/>
        <w:shd w:val="clear" w:color="auto" w:fill="auto"/>
        <w:spacing w:before="0" w:after="0" w:line="240" w:lineRule="auto"/>
        <w:rPr>
          <w:lang w:val="en-US"/>
        </w:rPr>
      </w:pPr>
    </w:p>
    <w:p w:rsidR="00512251" w:rsidRPr="005F25CA" w:rsidRDefault="00C53DB0" w:rsidP="002701F5">
      <w:pPr>
        <w:pStyle w:val="30"/>
        <w:shd w:val="clear" w:color="auto" w:fill="auto"/>
        <w:spacing w:before="0" w:line="240" w:lineRule="auto"/>
        <w:rPr>
          <w:sz w:val="24"/>
          <w:szCs w:val="24"/>
          <w:lang w:val="en-US"/>
        </w:rPr>
      </w:pPr>
      <w:r w:rsidRPr="005F25CA">
        <w:rPr>
          <w:sz w:val="24"/>
          <w:szCs w:val="24"/>
          <w:lang w:val="en-US"/>
        </w:rPr>
        <w:t>Composition:</w:t>
      </w:r>
    </w:p>
    <w:p w:rsidR="00512251" w:rsidRPr="005F25CA" w:rsidRDefault="00C53DB0" w:rsidP="002701F5">
      <w:pPr>
        <w:pStyle w:val="4"/>
        <w:shd w:val="clear" w:color="auto" w:fill="auto"/>
        <w:spacing w:line="240" w:lineRule="auto"/>
        <w:ind w:firstLine="0"/>
        <w:rPr>
          <w:sz w:val="24"/>
          <w:szCs w:val="24"/>
          <w:lang w:val="en-US"/>
        </w:rPr>
      </w:pPr>
      <w:r w:rsidRPr="005F25CA">
        <w:rPr>
          <w:rStyle w:val="a7"/>
          <w:sz w:val="24"/>
          <w:szCs w:val="24"/>
          <w:lang w:val="en-US"/>
        </w:rPr>
        <w:t>active ingredient:</w:t>
      </w:r>
      <w:r w:rsidR="00331A00" w:rsidRPr="005F25CA">
        <w:rPr>
          <w:rStyle w:val="a7"/>
          <w:sz w:val="24"/>
          <w:szCs w:val="24"/>
          <w:lang w:val="en-US"/>
        </w:rPr>
        <w:t xml:space="preserve"> </w:t>
      </w:r>
      <w:r w:rsidRPr="005F25CA">
        <w:rPr>
          <w:sz w:val="24"/>
          <w:szCs w:val="24"/>
          <w:lang w:val="en-US"/>
        </w:rPr>
        <w:t>enoxaparin sodium;</w:t>
      </w:r>
    </w:p>
    <w:p w:rsidR="00512251" w:rsidRPr="005F25CA" w:rsidRDefault="00C53DB0" w:rsidP="002701F5">
      <w:pPr>
        <w:pStyle w:val="4"/>
        <w:shd w:val="clear" w:color="auto" w:fill="auto"/>
        <w:spacing w:line="240" w:lineRule="auto"/>
        <w:ind w:firstLine="0"/>
        <w:rPr>
          <w:sz w:val="24"/>
          <w:szCs w:val="24"/>
          <w:lang w:val="en-US"/>
        </w:rPr>
      </w:pPr>
      <w:r w:rsidRPr="005F25CA">
        <w:rPr>
          <w:sz w:val="24"/>
          <w:szCs w:val="24"/>
          <w:lang w:val="en-US"/>
        </w:rPr>
        <w:t xml:space="preserve">1 </w:t>
      </w:r>
      <w:r w:rsidR="00D027D1" w:rsidRPr="005F25CA">
        <w:rPr>
          <w:sz w:val="24"/>
          <w:szCs w:val="24"/>
          <w:lang w:val="en-US"/>
        </w:rPr>
        <w:t>mL</w:t>
      </w:r>
      <w:r w:rsidRPr="005F25CA">
        <w:rPr>
          <w:sz w:val="24"/>
          <w:szCs w:val="24"/>
          <w:lang w:val="en-US"/>
        </w:rPr>
        <w:t xml:space="preserve"> of solution contains:</w:t>
      </w:r>
      <w:r w:rsidR="00D36A8D" w:rsidRPr="005F25CA">
        <w:rPr>
          <w:sz w:val="24"/>
          <w:szCs w:val="24"/>
          <w:lang w:val="en-US"/>
        </w:rPr>
        <w:t xml:space="preserve"> </w:t>
      </w:r>
      <w:r w:rsidRPr="005F25CA">
        <w:rPr>
          <w:sz w:val="24"/>
          <w:szCs w:val="24"/>
          <w:lang w:val="en-US"/>
        </w:rPr>
        <w:t>10</w:t>
      </w:r>
      <w:r w:rsidR="00436CD5" w:rsidRPr="005F25CA">
        <w:rPr>
          <w:sz w:val="24"/>
          <w:szCs w:val="24"/>
          <w:lang w:val="en-US"/>
        </w:rPr>
        <w:t>,</w:t>
      </w:r>
      <w:r w:rsidRPr="005F25CA">
        <w:rPr>
          <w:sz w:val="24"/>
          <w:szCs w:val="24"/>
          <w:lang w:val="en-US"/>
        </w:rPr>
        <w:t xml:space="preserve">000 anti-Ха IU, equivalent to 100 mg </w:t>
      </w:r>
      <w:r w:rsidR="005F25CA" w:rsidRPr="005F25CA">
        <w:rPr>
          <w:sz w:val="24"/>
          <w:szCs w:val="24"/>
          <w:lang w:val="en-US"/>
        </w:rPr>
        <w:t>of enoxaparin</w:t>
      </w:r>
      <w:r w:rsidRPr="005F25CA">
        <w:rPr>
          <w:sz w:val="24"/>
          <w:szCs w:val="24"/>
          <w:lang w:val="en-US"/>
        </w:rPr>
        <w:t xml:space="preserve"> sodium;</w:t>
      </w:r>
    </w:p>
    <w:p w:rsidR="00512251" w:rsidRPr="005F25CA" w:rsidRDefault="00C53DB0" w:rsidP="002701F5">
      <w:pPr>
        <w:pStyle w:val="4"/>
        <w:shd w:val="clear" w:color="auto" w:fill="auto"/>
        <w:spacing w:line="240" w:lineRule="auto"/>
        <w:ind w:firstLine="0"/>
        <w:rPr>
          <w:sz w:val="24"/>
          <w:szCs w:val="24"/>
          <w:lang w:val="en-US"/>
        </w:rPr>
      </w:pPr>
      <w:r w:rsidRPr="005F25CA">
        <w:rPr>
          <w:sz w:val="24"/>
          <w:szCs w:val="24"/>
          <w:lang w:val="en-US"/>
        </w:rPr>
        <w:t>2</w:t>
      </w:r>
      <w:r w:rsidR="00436CD5" w:rsidRPr="005F25CA">
        <w:rPr>
          <w:sz w:val="24"/>
          <w:szCs w:val="24"/>
          <w:lang w:val="en-US"/>
        </w:rPr>
        <w:t>,</w:t>
      </w:r>
      <w:r w:rsidRPr="005F25CA">
        <w:rPr>
          <w:sz w:val="24"/>
          <w:szCs w:val="24"/>
          <w:lang w:val="en-US"/>
        </w:rPr>
        <w:t xml:space="preserve">000 anti-Ха IU/0.2 </w:t>
      </w:r>
      <w:r w:rsidR="00D027D1" w:rsidRPr="005F25CA">
        <w:rPr>
          <w:sz w:val="24"/>
          <w:szCs w:val="24"/>
          <w:lang w:val="en-US"/>
        </w:rPr>
        <w:t>mL</w:t>
      </w:r>
      <w:r w:rsidRPr="005F25CA">
        <w:rPr>
          <w:sz w:val="24"/>
          <w:szCs w:val="24"/>
          <w:lang w:val="en-US"/>
        </w:rPr>
        <w:t>, equivalent to 20 mg of enoxaparin sodium;</w:t>
      </w:r>
    </w:p>
    <w:p w:rsidR="00512251" w:rsidRPr="005F25CA" w:rsidRDefault="00C53DB0" w:rsidP="002701F5">
      <w:pPr>
        <w:pStyle w:val="4"/>
        <w:shd w:val="clear" w:color="auto" w:fill="auto"/>
        <w:spacing w:line="240" w:lineRule="auto"/>
        <w:ind w:firstLine="0"/>
        <w:rPr>
          <w:sz w:val="24"/>
          <w:szCs w:val="24"/>
          <w:lang w:val="en-US"/>
        </w:rPr>
      </w:pPr>
      <w:r w:rsidRPr="005F25CA">
        <w:rPr>
          <w:sz w:val="24"/>
          <w:szCs w:val="24"/>
          <w:lang w:val="en-US"/>
        </w:rPr>
        <w:t>4</w:t>
      </w:r>
      <w:r w:rsidR="00436CD5" w:rsidRPr="005F25CA">
        <w:rPr>
          <w:sz w:val="24"/>
          <w:szCs w:val="24"/>
          <w:lang w:val="en-US"/>
        </w:rPr>
        <w:t>,</w:t>
      </w:r>
      <w:r w:rsidRPr="005F25CA">
        <w:rPr>
          <w:sz w:val="24"/>
          <w:szCs w:val="24"/>
          <w:lang w:val="en-US"/>
        </w:rPr>
        <w:t xml:space="preserve">000 anti-Ха IU/0.4 </w:t>
      </w:r>
      <w:r w:rsidR="00D027D1" w:rsidRPr="005F25CA">
        <w:rPr>
          <w:sz w:val="24"/>
          <w:szCs w:val="24"/>
          <w:lang w:val="en-US"/>
        </w:rPr>
        <w:t>mL</w:t>
      </w:r>
      <w:r w:rsidRPr="005F25CA">
        <w:rPr>
          <w:sz w:val="24"/>
          <w:szCs w:val="24"/>
          <w:lang w:val="en-US"/>
        </w:rPr>
        <w:t>, equivalent to 40 mg of enoxaparin sodium;</w:t>
      </w:r>
    </w:p>
    <w:p w:rsidR="00512251" w:rsidRPr="005F25CA" w:rsidRDefault="00C53DB0" w:rsidP="002701F5">
      <w:pPr>
        <w:pStyle w:val="4"/>
        <w:shd w:val="clear" w:color="auto" w:fill="auto"/>
        <w:spacing w:line="240" w:lineRule="auto"/>
        <w:ind w:firstLine="0"/>
        <w:rPr>
          <w:sz w:val="24"/>
          <w:szCs w:val="24"/>
          <w:lang w:val="en-US"/>
        </w:rPr>
      </w:pPr>
      <w:r w:rsidRPr="005F25CA">
        <w:rPr>
          <w:sz w:val="24"/>
          <w:szCs w:val="24"/>
          <w:lang w:val="en-US"/>
        </w:rPr>
        <w:t>6</w:t>
      </w:r>
      <w:r w:rsidR="00436CD5" w:rsidRPr="005F25CA">
        <w:rPr>
          <w:sz w:val="24"/>
          <w:szCs w:val="24"/>
          <w:lang w:val="en-US"/>
        </w:rPr>
        <w:t>,</w:t>
      </w:r>
      <w:r w:rsidRPr="005F25CA">
        <w:rPr>
          <w:sz w:val="24"/>
          <w:szCs w:val="24"/>
          <w:lang w:val="en-US"/>
        </w:rPr>
        <w:t xml:space="preserve">000 anti-Ха IU/0.6 </w:t>
      </w:r>
      <w:r w:rsidR="00D027D1" w:rsidRPr="005F25CA">
        <w:rPr>
          <w:sz w:val="24"/>
          <w:szCs w:val="24"/>
          <w:lang w:val="en-US"/>
        </w:rPr>
        <w:t>mL</w:t>
      </w:r>
      <w:r w:rsidRPr="005F25CA">
        <w:rPr>
          <w:sz w:val="24"/>
          <w:szCs w:val="24"/>
          <w:lang w:val="en-US"/>
        </w:rPr>
        <w:t>, equivalent to 60 mg of enoxaparin sodium;</w:t>
      </w:r>
    </w:p>
    <w:p w:rsidR="00C53DB0" w:rsidRPr="005F25CA" w:rsidRDefault="00C53DB0" w:rsidP="002701F5">
      <w:pPr>
        <w:pStyle w:val="4"/>
        <w:shd w:val="clear" w:color="auto" w:fill="auto"/>
        <w:spacing w:line="240" w:lineRule="auto"/>
        <w:ind w:firstLine="0"/>
        <w:rPr>
          <w:sz w:val="24"/>
          <w:szCs w:val="24"/>
          <w:lang w:val="en-US"/>
        </w:rPr>
      </w:pPr>
      <w:r w:rsidRPr="005F25CA">
        <w:rPr>
          <w:sz w:val="24"/>
          <w:szCs w:val="24"/>
          <w:lang w:val="en-US"/>
        </w:rPr>
        <w:t>8</w:t>
      </w:r>
      <w:r w:rsidR="00436CD5" w:rsidRPr="005F25CA">
        <w:rPr>
          <w:sz w:val="24"/>
          <w:szCs w:val="24"/>
          <w:lang w:val="en-US"/>
        </w:rPr>
        <w:t>,</w:t>
      </w:r>
      <w:r w:rsidRPr="005F25CA">
        <w:rPr>
          <w:sz w:val="24"/>
          <w:szCs w:val="24"/>
          <w:lang w:val="en-US"/>
        </w:rPr>
        <w:t xml:space="preserve">000 anti-Ха IU/0.8 </w:t>
      </w:r>
      <w:r w:rsidR="00D027D1" w:rsidRPr="005F25CA">
        <w:rPr>
          <w:sz w:val="24"/>
          <w:szCs w:val="24"/>
          <w:lang w:val="en-US"/>
        </w:rPr>
        <w:t>mL</w:t>
      </w:r>
      <w:r w:rsidRPr="005F25CA">
        <w:rPr>
          <w:sz w:val="24"/>
          <w:szCs w:val="24"/>
          <w:lang w:val="en-US"/>
        </w:rPr>
        <w:t>, equivalent to 80 mg of enoxaparin sodium;</w:t>
      </w:r>
      <w:r w:rsidR="00D36A8D" w:rsidRPr="005F25CA">
        <w:rPr>
          <w:sz w:val="24"/>
          <w:szCs w:val="24"/>
          <w:lang w:val="en-US"/>
        </w:rPr>
        <w:t xml:space="preserve"> </w:t>
      </w:r>
    </w:p>
    <w:p w:rsidR="00512251" w:rsidRPr="005F25CA" w:rsidRDefault="00C53DB0" w:rsidP="002701F5">
      <w:pPr>
        <w:pStyle w:val="4"/>
        <w:shd w:val="clear" w:color="auto" w:fill="auto"/>
        <w:spacing w:line="240" w:lineRule="auto"/>
        <w:ind w:firstLine="0"/>
        <w:rPr>
          <w:sz w:val="24"/>
          <w:szCs w:val="24"/>
          <w:lang w:val="en-US"/>
        </w:rPr>
      </w:pPr>
      <w:r w:rsidRPr="005F25CA">
        <w:rPr>
          <w:rStyle w:val="a7"/>
          <w:sz w:val="24"/>
          <w:szCs w:val="24"/>
          <w:lang w:val="en-US"/>
        </w:rPr>
        <w:t>excipients:</w:t>
      </w:r>
      <w:r w:rsidR="00D36A8D" w:rsidRPr="005F25CA">
        <w:rPr>
          <w:rStyle w:val="TrebuchetMS75pt0pt"/>
          <w:rFonts w:ascii="Times New Roman" w:hAnsi="Times New Roman" w:cs="Times New Roman"/>
          <w:spacing w:val="0"/>
          <w:sz w:val="24"/>
          <w:szCs w:val="24"/>
          <w:lang w:val="en-US"/>
        </w:rPr>
        <w:t xml:space="preserve"> </w:t>
      </w:r>
      <w:r w:rsidRPr="005F25CA">
        <w:rPr>
          <w:sz w:val="24"/>
          <w:szCs w:val="24"/>
          <w:lang w:val="en-US"/>
        </w:rPr>
        <w:t>water for injection.</w:t>
      </w:r>
    </w:p>
    <w:p w:rsidR="00A04897" w:rsidRPr="005F25CA" w:rsidRDefault="00A04897" w:rsidP="002701F5">
      <w:pPr>
        <w:pStyle w:val="4"/>
        <w:shd w:val="clear" w:color="auto" w:fill="auto"/>
        <w:spacing w:line="240" w:lineRule="auto"/>
        <w:ind w:firstLine="0"/>
        <w:rPr>
          <w:rStyle w:val="a8"/>
          <w:sz w:val="24"/>
          <w:szCs w:val="24"/>
          <w:lang w:val="en-US"/>
        </w:rPr>
      </w:pPr>
    </w:p>
    <w:p w:rsidR="009D0CCA" w:rsidRDefault="00C53DB0" w:rsidP="002701F5">
      <w:pPr>
        <w:pStyle w:val="4"/>
        <w:shd w:val="clear" w:color="auto" w:fill="auto"/>
        <w:spacing w:line="240" w:lineRule="auto"/>
        <w:ind w:firstLine="0"/>
        <w:rPr>
          <w:rStyle w:val="a8"/>
          <w:sz w:val="24"/>
          <w:szCs w:val="24"/>
          <w:lang w:val="en-US"/>
        </w:rPr>
      </w:pPr>
      <w:r w:rsidRPr="005F25CA">
        <w:rPr>
          <w:rStyle w:val="a8"/>
          <w:sz w:val="24"/>
          <w:szCs w:val="24"/>
          <w:lang w:val="en-US"/>
        </w:rPr>
        <w:t>Pharmaceutical form</w:t>
      </w:r>
    </w:p>
    <w:p w:rsidR="00512251" w:rsidRPr="005F25CA" w:rsidRDefault="00C53DB0" w:rsidP="002701F5">
      <w:pPr>
        <w:pStyle w:val="4"/>
        <w:shd w:val="clear" w:color="auto" w:fill="auto"/>
        <w:spacing w:line="240" w:lineRule="auto"/>
        <w:ind w:firstLine="0"/>
        <w:rPr>
          <w:sz w:val="24"/>
          <w:szCs w:val="24"/>
          <w:lang w:val="en-US"/>
        </w:rPr>
      </w:pPr>
      <w:proofErr w:type="gramStart"/>
      <w:r w:rsidRPr="005F25CA">
        <w:rPr>
          <w:sz w:val="24"/>
          <w:szCs w:val="24"/>
          <w:lang w:val="en-US"/>
        </w:rPr>
        <w:t>Solution for injection.</w:t>
      </w:r>
      <w:proofErr w:type="gramEnd"/>
    </w:p>
    <w:p w:rsidR="00512251" w:rsidRPr="005F25CA" w:rsidRDefault="00C53DB0" w:rsidP="002701F5">
      <w:pPr>
        <w:pStyle w:val="4"/>
        <w:shd w:val="clear" w:color="auto" w:fill="auto"/>
        <w:spacing w:line="240" w:lineRule="auto"/>
        <w:ind w:firstLine="0"/>
        <w:rPr>
          <w:sz w:val="24"/>
          <w:szCs w:val="24"/>
          <w:lang w:val="en-US"/>
        </w:rPr>
      </w:pPr>
      <w:r w:rsidRPr="005F25CA">
        <w:rPr>
          <w:rStyle w:val="a7"/>
          <w:sz w:val="24"/>
          <w:szCs w:val="24"/>
          <w:lang w:val="en-US"/>
        </w:rPr>
        <w:t>Basic physical and chemical properties:</w:t>
      </w:r>
      <w:r w:rsidR="00D36A8D" w:rsidRPr="005F25CA">
        <w:rPr>
          <w:rStyle w:val="TrebuchetMS75pt0pt"/>
          <w:rFonts w:ascii="Times New Roman" w:hAnsi="Times New Roman" w:cs="Times New Roman"/>
          <w:spacing w:val="0"/>
          <w:sz w:val="24"/>
          <w:szCs w:val="24"/>
          <w:lang w:val="en-US"/>
        </w:rPr>
        <w:t xml:space="preserve"> </w:t>
      </w:r>
      <w:r w:rsidRPr="005F25CA">
        <w:rPr>
          <w:sz w:val="24"/>
          <w:szCs w:val="24"/>
          <w:lang w:val="en-US"/>
        </w:rPr>
        <w:t>clear, colorless or light yellow liquid.</w:t>
      </w:r>
    </w:p>
    <w:p w:rsidR="00A04897" w:rsidRPr="005F25CA" w:rsidRDefault="00A04897" w:rsidP="002701F5">
      <w:pPr>
        <w:pStyle w:val="4"/>
        <w:shd w:val="clear" w:color="auto" w:fill="auto"/>
        <w:spacing w:line="240" w:lineRule="auto"/>
        <w:ind w:firstLine="0"/>
        <w:rPr>
          <w:rStyle w:val="a8"/>
          <w:sz w:val="24"/>
          <w:szCs w:val="24"/>
          <w:lang w:val="en-US"/>
        </w:rPr>
      </w:pPr>
    </w:p>
    <w:p w:rsidR="009D0CCA" w:rsidRDefault="00C53DB0" w:rsidP="002701F5">
      <w:pPr>
        <w:pStyle w:val="4"/>
        <w:shd w:val="clear" w:color="auto" w:fill="auto"/>
        <w:spacing w:line="240" w:lineRule="auto"/>
        <w:ind w:firstLine="0"/>
        <w:rPr>
          <w:rStyle w:val="a8"/>
          <w:sz w:val="24"/>
          <w:szCs w:val="24"/>
          <w:lang w:val="en-US"/>
        </w:rPr>
      </w:pPr>
      <w:proofErr w:type="spellStart"/>
      <w:r w:rsidRPr="005F25CA">
        <w:rPr>
          <w:rStyle w:val="a8"/>
          <w:sz w:val="24"/>
          <w:szCs w:val="24"/>
          <w:lang w:val="en-US"/>
        </w:rPr>
        <w:t>Pharmacotherapeutical</w:t>
      </w:r>
      <w:proofErr w:type="spellEnd"/>
      <w:r w:rsidRPr="005F25CA">
        <w:rPr>
          <w:rStyle w:val="a8"/>
          <w:sz w:val="24"/>
          <w:szCs w:val="24"/>
          <w:lang w:val="en-US"/>
        </w:rPr>
        <w:t xml:space="preserve"> group</w:t>
      </w:r>
    </w:p>
    <w:p w:rsidR="00512251" w:rsidRPr="005F25CA" w:rsidRDefault="00C53DB0" w:rsidP="002701F5">
      <w:pPr>
        <w:pStyle w:val="4"/>
        <w:shd w:val="clear" w:color="auto" w:fill="auto"/>
        <w:spacing w:line="240" w:lineRule="auto"/>
        <w:ind w:firstLine="0"/>
        <w:rPr>
          <w:sz w:val="24"/>
          <w:szCs w:val="24"/>
          <w:lang w:val="en-US"/>
        </w:rPr>
      </w:pPr>
      <w:proofErr w:type="gramStart"/>
      <w:r w:rsidRPr="005F25CA">
        <w:rPr>
          <w:sz w:val="24"/>
          <w:szCs w:val="24"/>
          <w:lang w:val="en-US"/>
        </w:rPr>
        <w:t>Anti-</w:t>
      </w:r>
      <w:proofErr w:type="spellStart"/>
      <w:r w:rsidRPr="005F25CA">
        <w:rPr>
          <w:sz w:val="24"/>
          <w:szCs w:val="24"/>
          <w:lang w:val="en-US"/>
        </w:rPr>
        <w:t>thrombotics</w:t>
      </w:r>
      <w:proofErr w:type="spellEnd"/>
      <w:r w:rsidRPr="005F25CA">
        <w:rPr>
          <w:sz w:val="24"/>
          <w:szCs w:val="24"/>
          <w:lang w:val="en-US"/>
        </w:rPr>
        <w:t>.</w:t>
      </w:r>
      <w:proofErr w:type="gramEnd"/>
      <w:r w:rsidR="00D36A8D" w:rsidRPr="005F25CA">
        <w:rPr>
          <w:sz w:val="24"/>
          <w:szCs w:val="24"/>
          <w:lang w:val="en-US"/>
        </w:rPr>
        <w:t xml:space="preserve"> </w:t>
      </w:r>
      <w:r w:rsidRPr="005F25CA">
        <w:rPr>
          <w:sz w:val="24"/>
          <w:szCs w:val="24"/>
          <w:lang w:val="en-US"/>
        </w:rPr>
        <w:t>Heparin group.</w:t>
      </w:r>
      <w:r w:rsidR="00D36A8D" w:rsidRPr="005F25CA">
        <w:rPr>
          <w:sz w:val="24"/>
          <w:szCs w:val="24"/>
          <w:lang w:val="en-US"/>
        </w:rPr>
        <w:t xml:space="preserve"> </w:t>
      </w:r>
      <w:proofErr w:type="spellStart"/>
      <w:r w:rsidRPr="005F25CA">
        <w:rPr>
          <w:sz w:val="24"/>
          <w:szCs w:val="24"/>
          <w:lang w:val="en-US"/>
        </w:rPr>
        <w:t>Enoxaparins</w:t>
      </w:r>
      <w:proofErr w:type="spellEnd"/>
      <w:r w:rsidRPr="005F25CA">
        <w:rPr>
          <w:sz w:val="24"/>
          <w:szCs w:val="24"/>
          <w:lang w:val="en-US"/>
        </w:rPr>
        <w:t>.</w:t>
      </w:r>
    </w:p>
    <w:p w:rsidR="00512251" w:rsidRPr="005F25CA" w:rsidRDefault="00C53DB0" w:rsidP="002701F5">
      <w:pPr>
        <w:pStyle w:val="4"/>
        <w:shd w:val="clear" w:color="auto" w:fill="auto"/>
        <w:spacing w:line="240" w:lineRule="auto"/>
        <w:ind w:firstLine="0"/>
        <w:rPr>
          <w:sz w:val="24"/>
          <w:szCs w:val="24"/>
          <w:lang w:val="en-US"/>
        </w:rPr>
      </w:pPr>
      <w:r w:rsidRPr="005F25CA">
        <w:rPr>
          <w:sz w:val="24"/>
          <w:szCs w:val="24"/>
          <w:lang w:val="en-US" w:eastAsia="ru-RU" w:bidi="ru-RU"/>
        </w:rPr>
        <w:t>ATC Code В01А В05.</w:t>
      </w:r>
    </w:p>
    <w:p w:rsidR="00A04897" w:rsidRPr="005F25CA" w:rsidRDefault="00A04897" w:rsidP="002701F5">
      <w:pPr>
        <w:pStyle w:val="30"/>
        <w:shd w:val="clear" w:color="auto" w:fill="auto"/>
        <w:spacing w:before="0" w:line="240" w:lineRule="auto"/>
        <w:rPr>
          <w:sz w:val="24"/>
          <w:szCs w:val="24"/>
          <w:lang w:val="en-US"/>
        </w:rPr>
      </w:pPr>
    </w:p>
    <w:p w:rsidR="00512251" w:rsidRPr="005F25CA" w:rsidRDefault="009D0CCA" w:rsidP="002701F5">
      <w:pPr>
        <w:pStyle w:val="30"/>
        <w:shd w:val="clear" w:color="auto" w:fill="auto"/>
        <w:spacing w:before="0" w:line="240" w:lineRule="auto"/>
        <w:rPr>
          <w:sz w:val="24"/>
          <w:szCs w:val="24"/>
          <w:lang w:val="en-US"/>
        </w:rPr>
      </w:pPr>
      <w:r>
        <w:rPr>
          <w:sz w:val="24"/>
          <w:szCs w:val="24"/>
          <w:lang w:val="en-US"/>
        </w:rPr>
        <w:t>Pharmacological properties</w:t>
      </w:r>
    </w:p>
    <w:p w:rsidR="00512251" w:rsidRPr="005F25CA" w:rsidRDefault="009D0CCA" w:rsidP="002701F5">
      <w:pPr>
        <w:pStyle w:val="41"/>
        <w:shd w:val="clear" w:color="auto" w:fill="auto"/>
        <w:spacing w:line="240" w:lineRule="auto"/>
        <w:rPr>
          <w:sz w:val="24"/>
          <w:szCs w:val="24"/>
          <w:lang w:val="en-US"/>
        </w:rPr>
      </w:pPr>
      <w:r>
        <w:rPr>
          <w:sz w:val="24"/>
          <w:szCs w:val="24"/>
          <w:lang w:val="en-US"/>
        </w:rPr>
        <w:t>Pharmacodynamics</w:t>
      </w:r>
    </w:p>
    <w:p w:rsidR="00512251" w:rsidRPr="005F25CA" w:rsidRDefault="00D36A8D" w:rsidP="00A04897">
      <w:pPr>
        <w:pStyle w:val="4"/>
        <w:shd w:val="clear" w:color="auto" w:fill="auto"/>
        <w:spacing w:line="240" w:lineRule="auto"/>
        <w:ind w:firstLine="0"/>
        <w:jc w:val="both"/>
        <w:rPr>
          <w:sz w:val="24"/>
          <w:szCs w:val="24"/>
          <w:lang w:val="en-US"/>
        </w:rPr>
      </w:pPr>
      <w:r w:rsidRPr="005F25CA">
        <w:rPr>
          <w:sz w:val="24"/>
          <w:szCs w:val="24"/>
          <w:lang w:val="en-US"/>
        </w:rPr>
        <w:t>Enoxaparin is a low-molecular-weight heparin (LMWH) in which the antithrombotic and anticoagulant activities of standard heparin have been dissociated. It is characterized by higher anti-Xa activity than anti-</w:t>
      </w:r>
      <w:proofErr w:type="spellStart"/>
      <w:r w:rsidRPr="005F25CA">
        <w:rPr>
          <w:sz w:val="24"/>
          <w:szCs w:val="24"/>
          <w:lang w:val="en-US"/>
        </w:rPr>
        <w:t>IIa</w:t>
      </w:r>
      <w:proofErr w:type="spellEnd"/>
      <w:r w:rsidRPr="005F25CA">
        <w:rPr>
          <w:sz w:val="24"/>
          <w:szCs w:val="24"/>
          <w:lang w:val="en-US"/>
        </w:rPr>
        <w:t xml:space="preserve"> </w:t>
      </w:r>
      <w:r w:rsidR="00A136E9" w:rsidRPr="005F25CA">
        <w:rPr>
          <w:sz w:val="24"/>
          <w:szCs w:val="24"/>
          <w:lang w:val="en-US"/>
        </w:rPr>
        <w:t>and</w:t>
      </w:r>
      <w:r w:rsidRPr="005F25CA">
        <w:rPr>
          <w:sz w:val="24"/>
          <w:szCs w:val="24"/>
          <w:lang w:val="en-US"/>
        </w:rPr>
        <w:t xml:space="preserve"> </w:t>
      </w:r>
      <w:proofErr w:type="spellStart"/>
      <w:r w:rsidRPr="005F25CA">
        <w:rPr>
          <w:sz w:val="24"/>
          <w:szCs w:val="24"/>
          <w:lang w:val="en-US"/>
        </w:rPr>
        <w:t>antithrombin</w:t>
      </w:r>
      <w:proofErr w:type="spellEnd"/>
      <w:r w:rsidRPr="005F25CA">
        <w:rPr>
          <w:sz w:val="24"/>
          <w:szCs w:val="24"/>
          <w:lang w:val="en-US"/>
        </w:rPr>
        <w:t xml:space="preserve"> activity (for enoxaparin, the ratio between these two activities is 3.6). At prophylactic doses, it does not significantly affect the </w:t>
      </w:r>
      <w:proofErr w:type="spellStart"/>
      <w:r w:rsidRPr="005F25CA">
        <w:rPr>
          <w:sz w:val="24"/>
          <w:szCs w:val="24"/>
          <w:lang w:val="en-US"/>
        </w:rPr>
        <w:t>aPTT</w:t>
      </w:r>
      <w:proofErr w:type="spellEnd"/>
      <w:r w:rsidRPr="005F25CA">
        <w:rPr>
          <w:sz w:val="24"/>
          <w:szCs w:val="24"/>
          <w:lang w:val="en-US"/>
        </w:rPr>
        <w:t xml:space="preserve"> (activated partial </w:t>
      </w:r>
      <w:proofErr w:type="spellStart"/>
      <w:r w:rsidRPr="005F25CA">
        <w:rPr>
          <w:sz w:val="24"/>
          <w:szCs w:val="24"/>
          <w:lang w:val="en-US"/>
        </w:rPr>
        <w:t>thromboplastin</w:t>
      </w:r>
      <w:proofErr w:type="spellEnd"/>
      <w:r w:rsidRPr="005F25CA">
        <w:rPr>
          <w:sz w:val="24"/>
          <w:szCs w:val="24"/>
          <w:lang w:val="en-US"/>
        </w:rPr>
        <w:t xml:space="preserve"> time).</w:t>
      </w:r>
    </w:p>
    <w:p w:rsidR="00512251" w:rsidRPr="005F25CA" w:rsidRDefault="00D36A8D" w:rsidP="00A04897">
      <w:pPr>
        <w:pStyle w:val="4"/>
        <w:shd w:val="clear" w:color="auto" w:fill="auto"/>
        <w:spacing w:line="240" w:lineRule="auto"/>
        <w:ind w:firstLine="0"/>
        <w:jc w:val="both"/>
        <w:rPr>
          <w:sz w:val="24"/>
          <w:szCs w:val="24"/>
          <w:lang w:val="en-US"/>
        </w:rPr>
      </w:pPr>
      <w:r w:rsidRPr="005F25CA">
        <w:rPr>
          <w:sz w:val="24"/>
          <w:szCs w:val="24"/>
          <w:lang w:val="en-US"/>
        </w:rPr>
        <w:t xml:space="preserve">At curative doses, </w:t>
      </w:r>
      <w:proofErr w:type="spellStart"/>
      <w:r w:rsidRPr="005F25CA">
        <w:rPr>
          <w:sz w:val="24"/>
          <w:szCs w:val="24"/>
          <w:lang w:val="en-US"/>
        </w:rPr>
        <w:t>aPTT</w:t>
      </w:r>
      <w:proofErr w:type="spellEnd"/>
      <w:r w:rsidRPr="005F25CA">
        <w:rPr>
          <w:sz w:val="24"/>
          <w:szCs w:val="24"/>
          <w:lang w:val="en-US"/>
        </w:rPr>
        <w:t xml:space="preserve"> can be prolonged by 1.5-2.2 times the control time at peak activity. This prolongation reflects the residual </w:t>
      </w:r>
      <w:proofErr w:type="spellStart"/>
      <w:r w:rsidRPr="005F25CA">
        <w:rPr>
          <w:sz w:val="24"/>
          <w:szCs w:val="24"/>
          <w:lang w:val="en-US"/>
        </w:rPr>
        <w:t>antithrombin</w:t>
      </w:r>
      <w:proofErr w:type="spellEnd"/>
      <w:r w:rsidRPr="005F25CA">
        <w:rPr>
          <w:sz w:val="24"/>
          <w:szCs w:val="24"/>
          <w:lang w:val="en-US"/>
        </w:rPr>
        <w:t xml:space="preserve"> activity.</w:t>
      </w:r>
    </w:p>
    <w:p w:rsidR="00512251" w:rsidRPr="005F25CA" w:rsidRDefault="00EB5083" w:rsidP="00A04897">
      <w:pPr>
        <w:pStyle w:val="4"/>
        <w:shd w:val="clear" w:color="auto" w:fill="auto"/>
        <w:spacing w:line="240" w:lineRule="auto"/>
        <w:ind w:firstLine="0"/>
        <w:jc w:val="both"/>
        <w:rPr>
          <w:sz w:val="24"/>
          <w:szCs w:val="24"/>
          <w:lang w:val="en-US"/>
        </w:rPr>
      </w:pPr>
      <w:r w:rsidRPr="005F25CA">
        <w:rPr>
          <w:rStyle w:val="11"/>
          <w:sz w:val="24"/>
          <w:szCs w:val="24"/>
          <w:lang w:val="en-US"/>
        </w:rPr>
        <w:t xml:space="preserve">Treatment of acute ST-segment elevation myocardial infarction, in combination </w:t>
      </w:r>
      <w:r w:rsidR="005F25CA" w:rsidRPr="005F25CA">
        <w:rPr>
          <w:rStyle w:val="11"/>
          <w:sz w:val="24"/>
          <w:szCs w:val="24"/>
          <w:lang w:val="en-US"/>
        </w:rPr>
        <w:t>with thrombolytic patients</w:t>
      </w:r>
      <w:r w:rsidRPr="005F25CA">
        <w:rPr>
          <w:rStyle w:val="11"/>
          <w:sz w:val="24"/>
          <w:szCs w:val="24"/>
          <w:lang w:val="en-US"/>
        </w:rPr>
        <w:t xml:space="preserve"> eligible or not for subsequent coronary</w:t>
      </w:r>
      <w:r w:rsidR="00081B80" w:rsidRPr="005F25CA">
        <w:rPr>
          <w:rStyle w:val="11"/>
          <w:sz w:val="24"/>
          <w:szCs w:val="24"/>
          <w:lang w:val="en-US"/>
        </w:rPr>
        <w:t xml:space="preserve"> angioplasty</w:t>
      </w:r>
      <w:r w:rsidRPr="005F25CA">
        <w:rPr>
          <w:rStyle w:val="11"/>
          <w:sz w:val="24"/>
          <w:szCs w:val="24"/>
          <w:lang w:val="en-US"/>
        </w:rPr>
        <w:t>.</w:t>
      </w:r>
      <w:r w:rsidR="003910C9" w:rsidRPr="005F25CA">
        <w:rPr>
          <w:rStyle w:val="11"/>
          <w:sz w:val="24"/>
          <w:szCs w:val="24"/>
          <w:lang w:val="en-US"/>
        </w:rPr>
        <w:t xml:space="preserve"> </w:t>
      </w:r>
    </w:p>
    <w:p w:rsidR="00512251" w:rsidRPr="005F25CA" w:rsidRDefault="00EB5083" w:rsidP="00A04897">
      <w:pPr>
        <w:pStyle w:val="4"/>
        <w:spacing w:line="240" w:lineRule="auto"/>
        <w:ind w:firstLine="0"/>
        <w:jc w:val="both"/>
        <w:rPr>
          <w:sz w:val="24"/>
          <w:szCs w:val="24"/>
          <w:lang w:val="en-US"/>
        </w:rPr>
      </w:pPr>
      <w:r w:rsidRPr="005F25CA">
        <w:rPr>
          <w:sz w:val="24"/>
          <w:szCs w:val="24"/>
          <w:lang w:val="en-US"/>
        </w:rPr>
        <w:t xml:space="preserve">In a large-scale multicenter clinical study, 20,479 patients with </w:t>
      </w:r>
      <w:r w:rsidRPr="005F25CA">
        <w:rPr>
          <w:rStyle w:val="11"/>
          <w:sz w:val="24"/>
          <w:szCs w:val="24"/>
          <w:u w:val="none"/>
          <w:lang w:val="en-US"/>
        </w:rPr>
        <w:t>acute ST-segment elevation myocardial infarction</w:t>
      </w:r>
      <w:r w:rsidRPr="00D3051B">
        <w:rPr>
          <w:rStyle w:val="11"/>
          <w:sz w:val="24"/>
          <w:szCs w:val="24"/>
          <w:u w:val="none"/>
          <w:lang w:val="en-US"/>
        </w:rPr>
        <w:t xml:space="preserve"> </w:t>
      </w:r>
      <w:r w:rsidRPr="005F25CA">
        <w:rPr>
          <w:sz w:val="24"/>
          <w:szCs w:val="24"/>
          <w:lang w:val="en-US"/>
        </w:rPr>
        <w:t xml:space="preserve">after fibrinolytic therapy were </w:t>
      </w:r>
      <w:proofErr w:type="spellStart"/>
      <w:r w:rsidRPr="005F25CA">
        <w:rPr>
          <w:sz w:val="24"/>
          <w:szCs w:val="24"/>
          <w:lang w:val="en-US"/>
        </w:rPr>
        <w:t>randomi</w:t>
      </w:r>
      <w:r w:rsidR="00E57298" w:rsidRPr="005F25CA">
        <w:rPr>
          <w:sz w:val="24"/>
          <w:szCs w:val="24"/>
          <w:lang w:val="en-US"/>
        </w:rPr>
        <w:t>s</w:t>
      </w:r>
      <w:r w:rsidRPr="005F25CA">
        <w:rPr>
          <w:sz w:val="24"/>
          <w:szCs w:val="24"/>
          <w:lang w:val="en-US"/>
        </w:rPr>
        <w:t>ed</w:t>
      </w:r>
      <w:proofErr w:type="spellEnd"/>
      <w:r w:rsidRPr="005F25CA">
        <w:rPr>
          <w:sz w:val="24"/>
          <w:szCs w:val="24"/>
          <w:lang w:val="en-US"/>
        </w:rPr>
        <w:t xml:space="preserve"> to receive either enoxaparin as a bolus intravenous injection of 3</w:t>
      </w:r>
      <w:r w:rsidR="00436CD5" w:rsidRPr="005F25CA">
        <w:rPr>
          <w:sz w:val="24"/>
          <w:szCs w:val="24"/>
          <w:lang w:val="en-US"/>
        </w:rPr>
        <w:t>,</w:t>
      </w:r>
      <w:r w:rsidRPr="005F25CA">
        <w:rPr>
          <w:sz w:val="24"/>
          <w:szCs w:val="24"/>
          <w:lang w:val="en-US"/>
        </w:rPr>
        <w:t>000 anti-Xa IU, followed by immediate subcutaneous dose of 100 anti-Xa IU/kg, then they were administered subcutaneous injections of 100 anti-Xa IU/kg every 12 hours, or treated with intravenous unfractionated heparin as a bolus injection of 60 IU/kg (up to 4</w:t>
      </w:r>
      <w:r w:rsidR="00A131C5" w:rsidRPr="005F25CA">
        <w:rPr>
          <w:sz w:val="24"/>
          <w:szCs w:val="24"/>
          <w:lang w:val="en-US"/>
        </w:rPr>
        <w:t>,</w:t>
      </w:r>
      <w:r w:rsidRPr="005F25CA">
        <w:rPr>
          <w:sz w:val="24"/>
          <w:szCs w:val="24"/>
          <w:lang w:val="en-US"/>
        </w:rPr>
        <w:t xml:space="preserve">000 IU/kg) followed by continuous infusion at a dose adjusted according to an activated partial </w:t>
      </w:r>
      <w:proofErr w:type="spellStart"/>
      <w:r w:rsidRPr="005F25CA">
        <w:rPr>
          <w:sz w:val="24"/>
          <w:szCs w:val="24"/>
          <w:lang w:val="en-US"/>
        </w:rPr>
        <w:t>thromboplastin</w:t>
      </w:r>
      <w:proofErr w:type="spellEnd"/>
      <w:r w:rsidRPr="005F25CA">
        <w:rPr>
          <w:sz w:val="24"/>
          <w:szCs w:val="24"/>
          <w:lang w:val="en-US"/>
        </w:rPr>
        <w:t xml:space="preserve"> time </w:t>
      </w:r>
      <w:r w:rsidR="00E57298" w:rsidRPr="005F25CA">
        <w:rPr>
          <w:sz w:val="24"/>
          <w:szCs w:val="24"/>
          <w:lang w:val="en-US"/>
        </w:rPr>
        <w:t>value</w:t>
      </w:r>
      <w:r w:rsidRPr="005F25CA">
        <w:rPr>
          <w:sz w:val="24"/>
          <w:szCs w:val="24"/>
          <w:lang w:val="en-US"/>
        </w:rPr>
        <w:t>.</w:t>
      </w:r>
      <w:r w:rsidR="00D36A8D" w:rsidRPr="005F25CA">
        <w:rPr>
          <w:sz w:val="24"/>
          <w:szCs w:val="24"/>
          <w:lang w:val="en-US"/>
        </w:rPr>
        <w:t xml:space="preserve"> </w:t>
      </w:r>
      <w:r w:rsidR="00E57298" w:rsidRPr="005F25CA">
        <w:rPr>
          <w:sz w:val="24"/>
          <w:szCs w:val="24"/>
          <w:lang w:val="en-US"/>
        </w:rPr>
        <w:t>Subcutaneous injections of enoxaparin were</w:t>
      </w:r>
      <w:r w:rsidR="002062C1" w:rsidRPr="005F25CA">
        <w:rPr>
          <w:sz w:val="24"/>
          <w:szCs w:val="24"/>
          <w:lang w:val="en-US"/>
        </w:rPr>
        <w:t xml:space="preserve"> administered until </w:t>
      </w:r>
      <w:r w:rsidR="00E57298" w:rsidRPr="005F25CA">
        <w:rPr>
          <w:sz w:val="24"/>
          <w:szCs w:val="24"/>
          <w:lang w:val="en-US"/>
        </w:rPr>
        <w:t xml:space="preserve">discharge </w:t>
      </w:r>
      <w:r w:rsidR="002062C1" w:rsidRPr="005F25CA">
        <w:rPr>
          <w:sz w:val="24"/>
          <w:szCs w:val="24"/>
          <w:lang w:val="en-US"/>
        </w:rPr>
        <w:t xml:space="preserve">from the hospital </w:t>
      </w:r>
      <w:r w:rsidR="00E57298" w:rsidRPr="005F25CA">
        <w:rPr>
          <w:sz w:val="24"/>
          <w:szCs w:val="24"/>
          <w:lang w:val="en-US"/>
        </w:rPr>
        <w:t xml:space="preserve">or </w:t>
      </w:r>
      <w:r w:rsidR="002062C1" w:rsidRPr="005F25CA">
        <w:rPr>
          <w:sz w:val="24"/>
          <w:szCs w:val="24"/>
          <w:lang w:val="en-US"/>
        </w:rPr>
        <w:t xml:space="preserve">for a maximum period of 8 days </w:t>
      </w:r>
      <w:r w:rsidR="00E57298" w:rsidRPr="005F25CA">
        <w:rPr>
          <w:sz w:val="24"/>
          <w:szCs w:val="24"/>
          <w:lang w:val="en-US"/>
        </w:rPr>
        <w:t xml:space="preserve">(in 75% of cases </w:t>
      </w:r>
      <w:r w:rsidR="002062C1" w:rsidRPr="005F25CA">
        <w:rPr>
          <w:sz w:val="24"/>
          <w:szCs w:val="24"/>
          <w:lang w:val="en-US"/>
        </w:rPr>
        <w:t xml:space="preserve">for </w:t>
      </w:r>
      <w:r w:rsidR="00E57298" w:rsidRPr="005F25CA">
        <w:rPr>
          <w:sz w:val="24"/>
          <w:szCs w:val="24"/>
          <w:lang w:val="en-US"/>
        </w:rPr>
        <w:t>at least 6 days).</w:t>
      </w:r>
      <w:r w:rsidR="00D36A8D" w:rsidRPr="005F25CA">
        <w:rPr>
          <w:sz w:val="24"/>
          <w:szCs w:val="24"/>
          <w:lang w:val="en-US"/>
        </w:rPr>
        <w:t xml:space="preserve"> </w:t>
      </w:r>
      <w:r w:rsidR="00E57298" w:rsidRPr="005F25CA">
        <w:rPr>
          <w:sz w:val="24"/>
          <w:szCs w:val="24"/>
          <w:lang w:val="en-US"/>
        </w:rPr>
        <w:t>Half of patients receiv</w:t>
      </w:r>
      <w:r w:rsidR="002062C1" w:rsidRPr="005F25CA">
        <w:rPr>
          <w:sz w:val="24"/>
          <w:szCs w:val="24"/>
          <w:lang w:val="en-US"/>
        </w:rPr>
        <w:t xml:space="preserve">ing </w:t>
      </w:r>
      <w:r w:rsidR="00E57298" w:rsidRPr="005F25CA">
        <w:rPr>
          <w:sz w:val="24"/>
          <w:szCs w:val="24"/>
          <w:lang w:val="en-US"/>
        </w:rPr>
        <w:t>heparin were administered the drug for at least 48 hours (</w:t>
      </w:r>
      <w:r w:rsidR="002062C1" w:rsidRPr="005F25CA">
        <w:rPr>
          <w:sz w:val="24"/>
          <w:szCs w:val="24"/>
          <w:lang w:val="en-US"/>
        </w:rPr>
        <w:t xml:space="preserve">in 89.5% of cases for </w:t>
      </w:r>
      <w:r w:rsidR="00E57298" w:rsidRPr="005F25CA">
        <w:rPr>
          <w:sz w:val="24"/>
          <w:szCs w:val="24"/>
          <w:lang w:val="en-US"/>
        </w:rPr>
        <w:t>≥ 36 hours).</w:t>
      </w:r>
      <w:r w:rsidR="00D36A8D" w:rsidRPr="005F25CA">
        <w:rPr>
          <w:sz w:val="24"/>
          <w:szCs w:val="24"/>
          <w:lang w:val="en-US"/>
        </w:rPr>
        <w:t xml:space="preserve"> </w:t>
      </w:r>
      <w:r w:rsidR="00DD6999" w:rsidRPr="005F25CA">
        <w:rPr>
          <w:sz w:val="24"/>
          <w:szCs w:val="24"/>
          <w:lang w:val="en-US"/>
        </w:rPr>
        <w:t>All the patients were also treated with acetylsalicylic acid for at least 30 days.</w:t>
      </w:r>
      <w:r w:rsidR="00D36A8D" w:rsidRPr="005F25CA">
        <w:rPr>
          <w:sz w:val="24"/>
          <w:szCs w:val="24"/>
          <w:lang w:val="en-US"/>
        </w:rPr>
        <w:t xml:space="preserve"> </w:t>
      </w:r>
      <w:r w:rsidR="00DD6999" w:rsidRPr="005F25CA">
        <w:rPr>
          <w:sz w:val="24"/>
          <w:szCs w:val="24"/>
          <w:lang w:val="en-US"/>
        </w:rPr>
        <w:t>The enoxaparin dosage was adjusted for patients aged 75 years or more:</w:t>
      </w:r>
      <w:r w:rsidR="00D36A8D" w:rsidRPr="005F25CA">
        <w:rPr>
          <w:sz w:val="24"/>
          <w:szCs w:val="24"/>
          <w:lang w:val="en-US"/>
        </w:rPr>
        <w:t xml:space="preserve"> </w:t>
      </w:r>
      <w:r w:rsidR="00DD6999" w:rsidRPr="005F25CA">
        <w:rPr>
          <w:sz w:val="24"/>
          <w:szCs w:val="24"/>
          <w:lang w:val="en-US"/>
        </w:rPr>
        <w:t xml:space="preserve">0.75 mg/kg (75 anti-Xa IU/kg) as a subcutaneous injection every 12 hours, </w:t>
      </w:r>
      <w:r w:rsidR="00DD6999" w:rsidRPr="005F25CA">
        <w:rPr>
          <w:sz w:val="24"/>
          <w:szCs w:val="24"/>
          <w:lang w:val="en-US"/>
        </w:rPr>
        <w:lastRenderedPageBreak/>
        <w:t>without an initial IV bolus injection.</w:t>
      </w:r>
    </w:p>
    <w:p w:rsidR="00512251" w:rsidRPr="005F25CA" w:rsidRDefault="00232D83" w:rsidP="00A04897">
      <w:pPr>
        <w:pStyle w:val="4"/>
        <w:spacing w:line="240" w:lineRule="auto"/>
        <w:ind w:firstLine="0"/>
        <w:jc w:val="both"/>
        <w:rPr>
          <w:sz w:val="24"/>
          <w:szCs w:val="24"/>
          <w:lang w:val="en-US"/>
        </w:rPr>
      </w:pPr>
      <w:r w:rsidRPr="005F25CA">
        <w:rPr>
          <w:sz w:val="24"/>
          <w:szCs w:val="24"/>
          <w:lang w:val="en-US"/>
        </w:rPr>
        <w:t>During the study 4,716 (23%) patients underwent coronary angioplasty with antithrombotic treatment using blinded study drugs. Patients did not receive an additional dose if the last subcutaneous injection of enoxaparin had been given less than 8 hours before balloon inflation, or, received an IV bolus injection of 0.3 mg/kg (30 anti-Xa IU/kg) if the last subcutaneous injection of enoxaparin had been given more than 8 hours before balloon inflation.</w:t>
      </w:r>
    </w:p>
    <w:p w:rsidR="00512251" w:rsidRPr="005F25CA" w:rsidRDefault="00550249" w:rsidP="00A04897">
      <w:pPr>
        <w:pStyle w:val="4"/>
        <w:shd w:val="clear" w:color="auto" w:fill="auto"/>
        <w:spacing w:line="240" w:lineRule="auto"/>
        <w:ind w:firstLine="0"/>
        <w:jc w:val="both"/>
        <w:rPr>
          <w:sz w:val="24"/>
          <w:szCs w:val="24"/>
          <w:lang w:val="en-US"/>
        </w:rPr>
      </w:pPr>
      <w:r w:rsidRPr="005F25CA">
        <w:rPr>
          <w:sz w:val="24"/>
          <w:szCs w:val="24"/>
          <w:lang w:val="en-US"/>
        </w:rPr>
        <w:t>Enoxaparin significantly reduced the incidence of primary end point events (</w:t>
      </w:r>
      <w:r w:rsidR="00A131C5" w:rsidRPr="005F25CA">
        <w:rPr>
          <w:sz w:val="24"/>
          <w:szCs w:val="24"/>
          <w:lang w:val="en-US"/>
        </w:rPr>
        <w:t xml:space="preserve">the </w:t>
      </w:r>
      <w:r w:rsidRPr="005F25CA">
        <w:rPr>
          <w:sz w:val="24"/>
          <w:szCs w:val="24"/>
          <w:lang w:val="en-US"/>
        </w:rPr>
        <w:t>composite end point consisting of myocardial infarction relapse and all-cause mortality within 30 days of follow-up period after the study inclusion:</w:t>
      </w:r>
      <w:r w:rsidR="00D36A8D" w:rsidRPr="005F25CA">
        <w:rPr>
          <w:sz w:val="24"/>
          <w:szCs w:val="24"/>
          <w:lang w:val="en-US"/>
        </w:rPr>
        <w:t xml:space="preserve"> </w:t>
      </w:r>
      <w:r w:rsidRPr="005F25CA">
        <w:rPr>
          <w:sz w:val="24"/>
          <w:szCs w:val="24"/>
          <w:lang w:val="en-US"/>
        </w:rPr>
        <w:t xml:space="preserve">9.9% in the enoxaparin group versus 12% in the unfractionated heparin group (relative risk reduction of 17% (p&lt;0.001)). The incidence of myocardial infarction relapse was significantly lower in the enoxaparin group (3.4% versus 5%, p&lt;0.001, relative risk reduction 31%). </w:t>
      </w:r>
      <w:r w:rsidR="00B949CB" w:rsidRPr="005F25CA">
        <w:rPr>
          <w:sz w:val="24"/>
          <w:szCs w:val="24"/>
          <w:lang w:val="en-US"/>
        </w:rPr>
        <w:t>The incidence of deaths was lower in the enoxaparin group, with no statistically significant difference between the groups (6.9% versus 7.5%, p=0.11). The benefit of enoxaparin in terms of the primary endpoint was consistent, irrespective of sub-group: age, sex, location of myocardial infarction, history of diabetes or myocardial infarction, type of thrombolytic administered and interval between the first clinical signs and treatment initiation.</w:t>
      </w:r>
    </w:p>
    <w:p w:rsidR="00512251" w:rsidRPr="005F25CA" w:rsidRDefault="00B949CB" w:rsidP="00A04897">
      <w:pPr>
        <w:pStyle w:val="4"/>
        <w:shd w:val="clear" w:color="auto" w:fill="auto"/>
        <w:spacing w:line="240" w:lineRule="auto"/>
        <w:ind w:firstLine="0"/>
        <w:jc w:val="both"/>
        <w:rPr>
          <w:sz w:val="24"/>
          <w:szCs w:val="24"/>
          <w:lang w:val="en-US"/>
        </w:rPr>
      </w:pPr>
      <w:r w:rsidRPr="005F25CA">
        <w:rPr>
          <w:sz w:val="24"/>
          <w:szCs w:val="24"/>
          <w:lang w:val="en-US"/>
        </w:rPr>
        <w:t>Enoxaparin demonstrated a significant benefit versus unfractionated heparin in terms of the primary efficacy criterion, both in patients who</w:t>
      </w:r>
      <w:r w:rsidR="000625C6" w:rsidRPr="005F25CA">
        <w:rPr>
          <w:sz w:val="24"/>
          <w:szCs w:val="24"/>
          <w:lang w:val="en-US"/>
        </w:rPr>
        <w:t xml:space="preserve"> </w:t>
      </w:r>
      <w:r w:rsidRPr="005F25CA">
        <w:rPr>
          <w:sz w:val="24"/>
          <w:szCs w:val="24"/>
          <w:lang w:val="en-US"/>
        </w:rPr>
        <w:t>had undergone coronary angioplasty within 30 days after inclusion (10.8% versus 13.9%, 23% reduction in relative risk) and in patients</w:t>
      </w:r>
      <w:r w:rsidR="000625C6" w:rsidRPr="005F25CA">
        <w:rPr>
          <w:sz w:val="24"/>
          <w:szCs w:val="24"/>
          <w:lang w:val="en-US"/>
        </w:rPr>
        <w:t xml:space="preserve"> </w:t>
      </w:r>
      <w:r w:rsidRPr="005F25CA">
        <w:rPr>
          <w:sz w:val="24"/>
          <w:szCs w:val="24"/>
          <w:lang w:val="en-US"/>
        </w:rPr>
        <w:t>who did not have coronary angioplasty (9.7% versus 11.4%, 15% reduction in relative risk).</w:t>
      </w:r>
    </w:p>
    <w:p w:rsidR="00512251" w:rsidRPr="005F25CA" w:rsidRDefault="00D05EB0" w:rsidP="00A04897">
      <w:pPr>
        <w:pStyle w:val="4"/>
        <w:shd w:val="clear" w:color="auto" w:fill="auto"/>
        <w:spacing w:line="240" w:lineRule="auto"/>
        <w:ind w:firstLine="0"/>
        <w:jc w:val="both"/>
        <w:rPr>
          <w:sz w:val="24"/>
          <w:szCs w:val="24"/>
          <w:lang w:val="en-US"/>
        </w:rPr>
      </w:pPr>
      <w:r w:rsidRPr="005F25CA">
        <w:rPr>
          <w:sz w:val="24"/>
          <w:szCs w:val="24"/>
          <w:lang w:val="en-US"/>
        </w:rPr>
        <w:t>The incidence of major bleeding at 30 days was significantly higher (p&lt;0.0001) in the enoxaparin group (2.1%) versus the heparin group (1.4%).</w:t>
      </w:r>
      <w:r w:rsidR="00D36A8D" w:rsidRPr="005F25CA">
        <w:rPr>
          <w:sz w:val="24"/>
          <w:szCs w:val="24"/>
          <w:lang w:val="en-US"/>
        </w:rPr>
        <w:t xml:space="preserve"> </w:t>
      </w:r>
      <w:r w:rsidR="00B62269" w:rsidRPr="005F25CA">
        <w:rPr>
          <w:sz w:val="24"/>
          <w:szCs w:val="24"/>
          <w:lang w:val="en-US"/>
        </w:rPr>
        <w:t>There was a higher incidence of gastrointestinal bleeding in the enoxaparin group (0.5%) versus the heparin group (0.1%), while the incidence of intracranial bleeding was similar in both groups (0.8% with enoxaparin versus 0.7% with heparin).</w:t>
      </w:r>
    </w:p>
    <w:p w:rsidR="00512251" w:rsidRPr="005F25CA" w:rsidRDefault="00721AEE" w:rsidP="00A04897">
      <w:pPr>
        <w:pStyle w:val="4"/>
        <w:shd w:val="clear" w:color="auto" w:fill="auto"/>
        <w:spacing w:line="240" w:lineRule="auto"/>
        <w:ind w:firstLine="0"/>
        <w:jc w:val="both"/>
        <w:rPr>
          <w:sz w:val="24"/>
          <w:szCs w:val="24"/>
          <w:lang w:val="en-US"/>
        </w:rPr>
      </w:pPr>
      <w:r w:rsidRPr="005F25CA">
        <w:rPr>
          <w:sz w:val="24"/>
          <w:szCs w:val="24"/>
          <w:lang w:val="en-US"/>
        </w:rPr>
        <w:t>The analysis of the composite criteria measuring overall clinical benefit showed statistically significant superiority (p&lt;0.0001) for enoxaparin</w:t>
      </w:r>
      <w:r w:rsidR="008E7E4D" w:rsidRPr="005F25CA">
        <w:rPr>
          <w:sz w:val="24"/>
          <w:szCs w:val="24"/>
          <w:lang w:val="en-US"/>
        </w:rPr>
        <w:t xml:space="preserve"> </w:t>
      </w:r>
      <w:r w:rsidRPr="005F25CA">
        <w:rPr>
          <w:sz w:val="24"/>
          <w:szCs w:val="24"/>
          <w:lang w:val="en-US"/>
        </w:rPr>
        <w:t>versus unfractionated heparin: a relative risk reduction of 14% in favor of enoxaparin (11% versus 12.8%) for the composite criteria consisting of death, myocardial infarction relapse, or major bleeding (TIMI criteria) at 30 days, and of 17% (10.1% versus 12.2%) for the composite criteria consisting of death, myocardial infarction relapse or intracranial bleeding at 30 days.</w:t>
      </w:r>
    </w:p>
    <w:p w:rsidR="00512251" w:rsidRPr="005F25CA" w:rsidRDefault="009D0CCA" w:rsidP="00A04897">
      <w:pPr>
        <w:pStyle w:val="41"/>
        <w:shd w:val="clear" w:color="auto" w:fill="auto"/>
        <w:spacing w:line="240" w:lineRule="auto"/>
        <w:jc w:val="both"/>
        <w:rPr>
          <w:sz w:val="24"/>
          <w:szCs w:val="24"/>
          <w:lang w:val="en-US"/>
        </w:rPr>
      </w:pPr>
      <w:r>
        <w:rPr>
          <w:sz w:val="24"/>
          <w:szCs w:val="24"/>
          <w:lang w:val="en-US"/>
        </w:rPr>
        <w:t>Pharmacokinetics</w:t>
      </w:r>
    </w:p>
    <w:p w:rsidR="00512251" w:rsidRPr="005F25CA" w:rsidRDefault="00721AEE" w:rsidP="00A04897">
      <w:pPr>
        <w:pStyle w:val="4"/>
        <w:shd w:val="clear" w:color="auto" w:fill="auto"/>
        <w:spacing w:line="240" w:lineRule="auto"/>
        <w:ind w:firstLine="0"/>
        <w:jc w:val="both"/>
        <w:rPr>
          <w:sz w:val="24"/>
          <w:szCs w:val="24"/>
          <w:lang w:val="en-US"/>
        </w:rPr>
      </w:pPr>
      <w:r w:rsidRPr="005F25CA">
        <w:rPr>
          <w:sz w:val="24"/>
          <w:szCs w:val="24"/>
          <w:lang w:val="en-US"/>
        </w:rPr>
        <w:t xml:space="preserve">The pharmacokinetic parameters of enoxaparin have been evaluated based on the </w:t>
      </w:r>
      <w:r w:rsidR="008E7E4D" w:rsidRPr="005F25CA">
        <w:rPr>
          <w:sz w:val="24"/>
          <w:szCs w:val="24"/>
          <w:lang w:val="en-US"/>
        </w:rPr>
        <w:t>time changes in</w:t>
      </w:r>
      <w:r w:rsidRPr="005F25CA">
        <w:rPr>
          <w:sz w:val="24"/>
          <w:szCs w:val="24"/>
          <w:lang w:val="en-US"/>
        </w:rPr>
        <w:t xml:space="preserve"> plasma anti-Xa and anti-</w:t>
      </w:r>
      <w:proofErr w:type="spellStart"/>
      <w:r w:rsidRPr="005F25CA">
        <w:rPr>
          <w:sz w:val="24"/>
          <w:szCs w:val="24"/>
          <w:lang w:val="en-US"/>
        </w:rPr>
        <w:t>IIa</w:t>
      </w:r>
      <w:proofErr w:type="spellEnd"/>
      <w:r w:rsidRPr="005F25CA">
        <w:rPr>
          <w:sz w:val="24"/>
          <w:szCs w:val="24"/>
          <w:lang w:val="en-US"/>
        </w:rPr>
        <w:t xml:space="preserve"> activity at the recommended</w:t>
      </w:r>
      <w:r w:rsidR="003B5AC2" w:rsidRPr="005F25CA">
        <w:rPr>
          <w:sz w:val="24"/>
          <w:szCs w:val="24"/>
          <w:lang w:val="en-US"/>
        </w:rPr>
        <w:t xml:space="preserve"> dose ranges</w:t>
      </w:r>
      <w:r w:rsidRPr="005F25CA">
        <w:rPr>
          <w:sz w:val="24"/>
          <w:szCs w:val="24"/>
          <w:lang w:val="en-US"/>
        </w:rPr>
        <w:t>.</w:t>
      </w:r>
    </w:p>
    <w:p w:rsidR="00512251" w:rsidRPr="005F25CA" w:rsidRDefault="00721AEE" w:rsidP="00A04897">
      <w:pPr>
        <w:pStyle w:val="4"/>
        <w:shd w:val="clear" w:color="auto" w:fill="auto"/>
        <w:spacing w:line="240" w:lineRule="auto"/>
        <w:ind w:firstLine="0"/>
        <w:jc w:val="both"/>
        <w:rPr>
          <w:sz w:val="24"/>
          <w:szCs w:val="24"/>
          <w:lang w:val="en-US"/>
        </w:rPr>
      </w:pPr>
      <w:r w:rsidRPr="005F25CA">
        <w:rPr>
          <w:rStyle w:val="11"/>
          <w:sz w:val="24"/>
          <w:szCs w:val="24"/>
          <w:lang w:val="en-US"/>
        </w:rPr>
        <w:t>Bioavailability.</w:t>
      </w:r>
      <w:r w:rsidR="00D36A8D" w:rsidRPr="005F25CA">
        <w:rPr>
          <w:sz w:val="24"/>
          <w:szCs w:val="24"/>
          <w:lang w:val="en-US"/>
        </w:rPr>
        <w:t xml:space="preserve"> </w:t>
      </w:r>
      <w:r w:rsidRPr="005F25CA">
        <w:rPr>
          <w:sz w:val="24"/>
          <w:szCs w:val="24"/>
          <w:lang w:val="en-US"/>
        </w:rPr>
        <w:t>Subcutaneously administered enoxaparin is rapidly and almost completely absorbed (nearly 100%).</w:t>
      </w:r>
      <w:r w:rsidR="00D36A8D" w:rsidRPr="005F25CA">
        <w:rPr>
          <w:sz w:val="24"/>
          <w:szCs w:val="24"/>
          <w:lang w:val="en-US"/>
        </w:rPr>
        <w:t xml:space="preserve"> </w:t>
      </w:r>
      <w:r w:rsidRPr="005F25CA">
        <w:rPr>
          <w:sz w:val="24"/>
          <w:szCs w:val="24"/>
          <w:lang w:val="en-US"/>
        </w:rPr>
        <w:t>Peak plasma activity is observed between 3 and 4 hours after administration.</w:t>
      </w:r>
    </w:p>
    <w:p w:rsidR="00512251" w:rsidRPr="005F25CA" w:rsidRDefault="00721AEE" w:rsidP="00A04897">
      <w:pPr>
        <w:pStyle w:val="4"/>
        <w:shd w:val="clear" w:color="auto" w:fill="auto"/>
        <w:spacing w:line="240" w:lineRule="auto"/>
        <w:ind w:firstLine="0"/>
        <w:jc w:val="both"/>
        <w:rPr>
          <w:sz w:val="24"/>
          <w:szCs w:val="24"/>
          <w:lang w:val="en-US"/>
        </w:rPr>
      </w:pPr>
      <w:r w:rsidRPr="005F25CA">
        <w:rPr>
          <w:sz w:val="24"/>
          <w:szCs w:val="24"/>
          <w:lang w:val="en-US"/>
        </w:rPr>
        <w:t>This peak activity (expressed as anti-Xa IU) is 0.18 ± 0.04 (after 2,000 anti-Xa IU), 0.43 ± 0.11 (after 4,000 anti-Xa IU) in prophylactic treatment, and 1.01 ± 0.14 (after 10,000 anti-Xa IU).</w:t>
      </w:r>
    </w:p>
    <w:p w:rsidR="00512251" w:rsidRPr="005F25CA" w:rsidRDefault="00721AEE" w:rsidP="00A04897">
      <w:pPr>
        <w:pStyle w:val="4"/>
        <w:shd w:val="clear" w:color="auto" w:fill="auto"/>
        <w:spacing w:line="240" w:lineRule="auto"/>
        <w:ind w:firstLine="0"/>
        <w:jc w:val="both"/>
        <w:rPr>
          <w:sz w:val="24"/>
          <w:szCs w:val="24"/>
          <w:lang w:val="en-US"/>
        </w:rPr>
      </w:pPr>
      <w:r w:rsidRPr="005F25CA">
        <w:rPr>
          <w:sz w:val="24"/>
          <w:szCs w:val="24"/>
          <w:lang w:val="en-US"/>
        </w:rPr>
        <w:t xml:space="preserve">An IV bolus injection of 30 mg (0.3 </w:t>
      </w:r>
      <w:r w:rsidR="00D027D1" w:rsidRPr="005F25CA">
        <w:rPr>
          <w:sz w:val="24"/>
          <w:szCs w:val="24"/>
          <w:lang w:val="en-US"/>
        </w:rPr>
        <w:t>mL</w:t>
      </w:r>
      <w:r w:rsidRPr="005F25CA">
        <w:rPr>
          <w:sz w:val="24"/>
          <w:szCs w:val="24"/>
          <w:lang w:val="en-US"/>
        </w:rPr>
        <w:t>; 3,000 anti-Xa IU) followed by 1 mg/kg (100 anti-Xa IU/kg) by the subcutaneous route every 12 hours leads to a first peak in anti-Factor Xa levels of 1.16 IU/</w:t>
      </w:r>
      <w:r w:rsidR="00D027D1" w:rsidRPr="005F25CA">
        <w:rPr>
          <w:sz w:val="24"/>
          <w:szCs w:val="24"/>
          <w:lang w:val="en-US"/>
        </w:rPr>
        <w:t>mL</w:t>
      </w:r>
      <w:r w:rsidRPr="005F25CA">
        <w:rPr>
          <w:sz w:val="24"/>
          <w:szCs w:val="24"/>
          <w:lang w:val="en-US"/>
        </w:rPr>
        <w:t xml:space="preserve"> (n=16) and </w:t>
      </w:r>
      <w:r w:rsidR="003B5AC2" w:rsidRPr="005F25CA">
        <w:rPr>
          <w:sz w:val="24"/>
          <w:szCs w:val="24"/>
          <w:lang w:val="en-US"/>
        </w:rPr>
        <w:t>the</w:t>
      </w:r>
      <w:r w:rsidRPr="005F25CA">
        <w:rPr>
          <w:sz w:val="24"/>
          <w:szCs w:val="24"/>
          <w:lang w:val="en-US"/>
        </w:rPr>
        <w:t xml:space="preserve"> mean area under the curve corresponding to 88% of the steady state level.</w:t>
      </w:r>
      <w:r w:rsidR="00D36A8D" w:rsidRPr="005F25CA">
        <w:rPr>
          <w:sz w:val="24"/>
          <w:szCs w:val="24"/>
          <w:lang w:val="en-US"/>
        </w:rPr>
        <w:t xml:space="preserve"> </w:t>
      </w:r>
      <w:r w:rsidRPr="005F25CA">
        <w:rPr>
          <w:sz w:val="24"/>
          <w:szCs w:val="24"/>
          <w:lang w:val="en-US"/>
        </w:rPr>
        <w:t>Steady state is reached on the second day of treatment.</w:t>
      </w:r>
    </w:p>
    <w:p w:rsidR="00512251" w:rsidRPr="005F25CA" w:rsidRDefault="00223C8B" w:rsidP="00A04897">
      <w:pPr>
        <w:pStyle w:val="4"/>
        <w:shd w:val="clear" w:color="auto" w:fill="auto"/>
        <w:spacing w:line="240" w:lineRule="auto"/>
        <w:ind w:firstLine="0"/>
        <w:jc w:val="both"/>
        <w:rPr>
          <w:sz w:val="24"/>
          <w:szCs w:val="24"/>
          <w:lang w:val="en-US"/>
        </w:rPr>
      </w:pPr>
      <w:r w:rsidRPr="005F25CA">
        <w:rPr>
          <w:sz w:val="24"/>
          <w:szCs w:val="24"/>
          <w:lang w:val="en-US"/>
        </w:rPr>
        <w:t>Enoxaparin pharmacokinetics is linear over the recommended dose range.</w:t>
      </w:r>
      <w:r w:rsidR="00D36A8D" w:rsidRPr="005F25CA">
        <w:rPr>
          <w:sz w:val="24"/>
          <w:szCs w:val="24"/>
          <w:lang w:val="en-US"/>
        </w:rPr>
        <w:t xml:space="preserve"> </w:t>
      </w:r>
      <w:r w:rsidR="00426AE5" w:rsidRPr="005F25CA">
        <w:rPr>
          <w:sz w:val="24"/>
          <w:szCs w:val="24"/>
          <w:lang w:val="en-US"/>
        </w:rPr>
        <w:t>Intra-patient and inter-patient variability is low.</w:t>
      </w:r>
      <w:r w:rsidR="00D36A8D" w:rsidRPr="005F25CA">
        <w:rPr>
          <w:sz w:val="24"/>
          <w:szCs w:val="24"/>
          <w:lang w:val="en-US"/>
        </w:rPr>
        <w:t xml:space="preserve"> </w:t>
      </w:r>
      <w:r w:rsidR="00426AE5" w:rsidRPr="005F25CA">
        <w:rPr>
          <w:sz w:val="24"/>
          <w:szCs w:val="24"/>
          <w:lang w:val="en-US"/>
        </w:rPr>
        <w:t xml:space="preserve">After repeated subcutaneous administration of 40 mg (0.4 </w:t>
      </w:r>
      <w:r w:rsidR="00D027D1" w:rsidRPr="005F25CA">
        <w:rPr>
          <w:sz w:val="24"/>
          <w:szCs w:val="24"/>
          <w:lang w:val="en-US"/>
        </w:rPr>
        <w:t>mL</w:t>
      </w:r>
      <w:r w:rsidR="00426AE5" w:rsidRPr="005F25CA">
        <w:rPr>
          <w:sz w:val="24"/>
          <w:szCs w:val="24"/>
          <w:lang w:val="en-US"/>
        </w:rPr>
        <w:t>; 4</w:t>
      </w:r>
      <w:r w:rsidR="005C7489" w:rsidRPr="005F25CA">
        <w:rPr>
          <w:sz w:val="24"/>
          <w:szCs w:val="24"/>
          <w:lang w:val="en-US"/>
        </w:rPr>
        <w:t>,</w:t>
      </w:r>
      <w:r w:rsidR="00426AE5" w:rsidRPr="005F25CA">
        <w:rPr>
          <w:sz w:val="24"/>
          <w:szCs w:val="24"/>
          <w:lang w:val="en-US"/>
        </w:rPr>
        <w:t>000 anti-Xa IU) once daily in healthy volunteers, the steady state is reached on day 2 with mean enoxaparin activity of approximately 15% higher than that obtained after a single dose.</w:t>
      </w:r>
      <w:r w:rsidR="00D36A8D" w:rsidRPr="005F25CA">
        <w:rPr>
          <w:sz w:val="24"/>
          <w:szCs w:val="24"/>
          <w:lang w:val="en-US"/>
        </w:rPr>
        <w:t xml:space="preserve"> </w:t>
      </w:r>
      <w:r w:rsidR="00426AE5" w:rsidRPr="005F25CA">
        <w:rPr>
          <w:sz w:val="24"/>
          <w:szCs w:val="24"/>
          <w:lang w:val="en-US"/>
        </w:rPr>
        <w:t>Steady-state enoxaparin activity levels are well predicted by single dose pharmacokinetics.</w:t>
      </w:r>
      <w:r w:rsidR="00D36A8D" w:rsidRPr="005F25CA">
        <w:rPr>
          <w:sz w:val="24"/>
          <w:szCs w:val="24"/>
          <w:lang w:val="en-US"/>
        </w:rPr>
        <w:t xml:space="preserve"> </w:t>
      </w:r>
      <w:r w:rsidR="005F25CA" w:rsidRPr="005F25CA">
        <w:rPr>
          <w:sz w:val="24"/>
          <w:szCs w:val="24"/>
          <w:lang w:val="en-US"/>
        </w:rPr>
        <w:t xml:space="preserve">After repeated subcutaneous administration of 1 mg/kg (100 anti-Xa IU/kg) </w:t>
      </w:r>
      <w:proofErr w:type="spellStart"/>
      <w:r w:rsidR="005F25CA" w:rsidRPr="005F25CA">
        <w:rPr>
          <w:sz w:val="24"/>
          <w:szCs w:val="24"/>
          <w:lang w:val="en-US"/>
        </w:rPr>
        <w:t>b.i.d</w:t>
      </w:r>
      <w:proofErr w:type="spellEnd"/>
      <w:r w:rsidR="005F25CA" w:rsidRPr="005F25CA">
        <w:rPr>
          <w:sz w:val="24"/>
          <w:szCs w:val="24"/>
          <w:lang w:val="en-US"/>
        </w:rPr>
        <w:t xml:space="preserve">., the steady state is reached between day 3 and 4 with mean exposure about 65% higher than after a single dose, and with maximum and minimum anti-Xa activity of about 1.2 and 0.52 anti-Xa IU/mL, respectively.  </w:t>
      </w:r>
      <w:r w:rsidR="00E75A92" w:rsidRPr="005F25CA">
        <w:rPr>
          <w:sz w:val="24"/>
          <w:szCs w:val="24"/>
          <w:lang w:val="en-US"/>
        </w:rPr>
        <w:lastRenderedPageBreak/>
        <w:t>Based on enoxaparin sodium pharmacokinetics, this difference in steady state is expected and is within the therapeutic range.</w:t>
      </w:r>
    </w:p>
    <w:p w:rsidR="00512251" w:rsidRPr="005F25CA" w:rsidRDefault="00E75A92" w:rsidP="00A04897">
      <w:pPr>
        <w:pStyle w:val="4"/>
        <w:shd w:val="clear" w:color="auto" w:fill="auto"/>
        <w:spacing w:line="240" w:lineRule="auto"/>
        <w:ind w:firstLine="0"/>
        <w:jc w:val="both"/>
        <w:rPr>
          <w:sz w:val="24"/>
          <w:szCs w:val="24"/>
          <w:lang w:val="en-US"/>
        </w:rPr>
      </w:pPr>
      <w:r w:rsidRPr="005F25CA">
        <w:rPr>
          <w:sz w:val="24"/>
          <w:szCs w:val="24"/>
          <w:lang w:val="en-US"/>
        </w:rPr>
        <w:t>Plasma anti-</w:t>
      </w:r>
      <w:proofErr w:type="spellStart"/>
      <w:r w:rsidRPr="005F25CA">
        <w:rPr>
          <w:sz w:val="24"/>
          <w:szCs w:val="24"/>
          <w:lang w:val="en-US"/>
        </w:rPr>
        <w:t>IIa</w:t>
      </w:r>
      <w:proofErr w:type="spellEnd"/>
      <w:r w:rsidRPr="005F25CA">
        <w:rPr>
          <w:sz w:val="24"/>
          <w:szCs w:val="24"/>
          <w:lang w:val="en-US"/>
        </w:rPr>
        <w:t xml:space="preserve"> activity after subcutaneous administration is about 10-fold lower than anti-Xa activity.</w:t>
      </w:r>
      <w:r w:rsidR="00D36A8D" w:rsidRPr="005F25CA">
        <w:rPr>
          <w:sz w:val="24"/>
          <w:szCs w:val="24"/>
          <w:lang w:val="en-US"/>
        </w:rPr>
        <w:t xml:space="preserve"> </w:t>
      </w:r>
      <w:r w:rsidR="003C6DAF" w:rsidRPr="005F25CA">
        <w:rPr>
          <w:sz w:val="24"/>
          <w:szCs w:val="24"/>
          <w:lang w:val="en-US" w:eastAsia="en-US" w:bidi="en-US"/>
        </w:rPr>
        <w:t>The mean maximum anti-Xa activity is observed approximately 3 to 4 hours following subcutaneous injection, and reaches 0.13 anti-Xa IU/</w:t>
      </w:r>
      <w:r w:rsidR="00D027D1" w:rsidRPr="005F25CA">
        <w:rPr>
          <w:sz w:val="24"/>
          <w:szCs w:val="24"/>
          <w:lang w:val="en-US" w:eastAsia="en-US" w:bidi="en-US"/>
        </w:rPr>
        <w:t>mL</w:t>
      </w:r>
      <w:r w:rsidR="003C6DAF" w:rsidRPr="005F25CA">
        <w:rPr>
          <w:sz w:val="24"/>
          <w:szCs w:val="24"/>
          <w:lang w:val="en-US" w:eastAsia="en-US" w:bidi="en-US"/>
        </w:rPr>
        <w:t xml:space="preserve"> following repeated administration of a 1 mg/kg (100 anti-Xa IU/kg) dose </w:t>
      </w:r>
      <w:proofErr w:type="spellStart"/>
      <w:r w:rsidR="003C6DAF" w:rsidRPr="005F25CA">
        <w:rPr>
          <w:sz w:val="24"/>
          <w:szCs w:val="24"/>
          <w:lang w:val="en-US" w:eastAsia="en-US" w:bidi="en-US"/>
        </w:rPr>
        <w:t>b.i.d</w:t>
      </w:r>
      <w:proofErr w:type="spellEnd"/>
      <w:r w:rsidR="003C6DAF" w:rsidRPr="005F25CA">
        <w:rPr>
          <w:sz w:val="24"/>
          <w:szCs w:val="24"/>
          <w:lang w:val="en-US" w:eastAsia="en-US" w:bidi="en-US"/>
        </w:rPr>
        <w:t>.</w:t>
      </w:r>
    </w:p>
    <w:p w:rsidR="00512251" w:rsidRPr="005F25CA" w:rsidRDefault="003C6DAF" w:rsidP="002701F5">
      <w:pPr>
        <w:pStyle w:val="4"/>
        <w:shd w:val="clear" w:color="auto" w:fill="auto"/>
        <w:spacing w:line="240" w:lineRule="auto"/>
        <w:ind w:firstLine="0"/>
        <w:jc w:val="both"/>
        <w:rPr>
          <w:sz w:val="24"/>
          <w:szCs w:val="24"/>
          <w:lang w:val="en-US"/>
        </w:rPr>
      </w:pPr>
      <w:r w:rsidRPr="005F25CA">
        <w:rPr>
          <w:rStyle w:val="11"/>
          <w:sz w:val="24"/>
          <w:szCs w:val="24"/>
          <w:lang w:val="en-US"/>
        </w:rPr>
        <w:t>Distribution.</w:t>
      </w:r>
      <w:r w:rsidR="00D36A8D" w:rsidRPr="005F25CA">
        <w:rPr>
          <w:sz w:val="24"/>
          <w:szCs w:val="24"/>
          <w:lang w:val="en-US"/>
        </w:rPr>
        <w:t xml:space="preserve"> </w:t>
      </w:r>
      <w:r w:rsidRPr="005F25CA">
        <w:rPr>
          <w:sz w:val="24"/>
          <w:szCs w:val="24"/>
          <w:lang w:val="en-US" w:eastAsia="en-US" w:bidi="en-US"/>
        </w:rPr>
        <w:t>The volume of distribution of enoxaparin anti-Xa activity is about 5 liters and is close to the circulation blood volume.</w:t>
      </w:r>
    </w:p>
    <w:p w:rsidR="00512251" w:rsidRPr="005F25CA" w:rsidRDefault="003C6DAF" w:rsidP="002701F5">
      <w:pPr>
        <w:pStyle w:val="4"/>
        <w:shd w:val="clear" w:color="auto" w:fill="auto"/>
        <w:spacing w:line="240" w:lineRule="auto"/>
        <w:ind w:firstLine="0"/>
        <w:jc w:val="both"/>
        <w:rPr>
          <w:sz w:val="24"/>
          <w:szCs w:val="24"/>
          <w:lang w:val="en-US"/>
        </w:rPr>
      </w:pPr>
      <w:r w:rsidRPr="005F25CA">
        <w:rPr>
          <w:rStyle w:val="11"/>
          <w:sz w:val="24"/>
          <w:szCs w:val="24"/>
          <w:lang w:val="en-US"/>
        </w:rPr>
        <w:t>Metabolism.</w:t>
      </w:r>
      <w:r w:rsidR="00D36A8D" w:rsidRPr="005F25CA">
        <w:rPr>
          <w:sz w:val="24"/>
          <w:szCs w:val="24"/>
          <w:lang w:val="en-US"/>
        </w:rPr>
        <w:t xml:space="preserve"> </w:t>
      </w:r>
      <w:r w:rsidRPr="005F25CA">
        <w:rPr>
          <w:sz w:val="24"/>
          <w:szCs w:val="24"/>
          <w:lang w:val="en-US" w:eastAsia="en-US" w:bidi="en-US"/>
        </w:rPr>
        <w:t>Enoxaparin is metabolized mainly in the liver (</w:t>
      </w:r>
      <w:proofErr w:type="spellStart"/>
      <w:r w:rsidRPr="005F25CA">
        <w:rPr>
          <w:sz w:val="24"/>
          <w:szCs w:val="24"/>
          <w:lang w:val="en-US" w:eastAsia="en-US" w:bidi="en-US"/>
        </w:rPr>
        <w:t>desulfation</w:t>
      </w:r>
      <w:proofErr w:type="spellEnd"/>
      <w:r w:rsidRPr="005F25CA">
        <w:rPr>
          <w:sz w:val="24"/>
          <w:szCs w:val="24"/>
          <w:lang w:val="en-US" w:eastAsia="en-US" w:bidi="en-US"/>
        </w:rPr>
        <w:t xml:space="preserve">, </w:t>
      </w:r>
      <w:proofErr w:type="spellStart"/>
      <w:r w:rsidRPr="005F25CA">
        <w:rPr>
          <w:sz w:val="24"/>
          <w:szCs w:val="24"/>
          <w:lang w:val="en-US" w:eastAsia="en-US" w:bidi="en-US"/>
        </w:rPr>
        <w:t>depolymerization</w:t>
      </w:r>
      <w:proofErr w:type="spellEnd"/>
      <w:r w:rsidRPr="005F25CA">
        <w:rPr>
          <w:sz w:val="24"/>
          <w:szCs w:val="24"/>
          <w:lang w:val="en-US" w:eastAsia="en-US" w:bidi="en-US"/>
        </w:rPr>
        <w:t>).</w:t>
      </w:r>
    </w:p>
    <w:p w:rsidR="00512251" w:rsidRPr="005F25CA" w:rsidRDefault="003C6DAF" w:rsidP="002701F5">
      <w:pPr>
        <w:pStyle w:val="4"/>
        <w:shd w:val="clear" w:color="auto" w:fill="auto"/>
        <w:spacing w:line="240" w:lineRule="auto"/>
        <w:ind w:firstLine="0"/>
        <w:jc w:val="both"/>
        <w:rPr>
          <w:sz w:val="24"/>
          <w:szCs w:val="24"/>
          <w:lang w:val="en-US"/>
        </w:rPr>
      </w:pPr>
      <w:r w:rsidRPr="005F25CA">
        <w:rPr>
          <w:rStyle w:val="11"/>
          <w:sz w:val="24"/>
          <w:szCs w:val="24"/>
          <w:lang w:val="en-US"/>
        </w:rPr>
        <w:t>Elimination.</w:t>
      </w:r>
      <w:r w:rsidR="00D36A8D" w:rsidRPr="005F25CA">
        <w:rPr>
          <w:sz w:val="24"/>
          <w:szCs w:val="24"/>
          <w:lang w:val="en-US"/>
        </w:rPr>
        <w:t xml:space="preserve"> </w:t>
      </w:r>
      <w:r w:rsidR="00CF2C39" w:rsidRPr="005F25CA">
        <w:rPr>
          <w:sz w:val="24"/>
          <w:szCs w:val="24"/>
          <w:lang w:val="en-US" w:eastAsia="en-US" w:bidi="en-US"/>
        </w:rPr>
        <w:t>Following subcutaneous injection, the apparent anti-Xa activity elimination half-life is higher for low-molecular-weight heparins than for unfractionated heparins.</w:t>
      </w:r>
    </w:p>
    <w:p w:rsidR="00512251" w:rsidRPr="005F25CA" w:rsidRDefault="00613E40"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Enoxaparin exhibits a monophasic elimination pattern with a half-life of about 4 hours after a single subcutaneous dose to about 7 hours after repeated dosing.</w:t>
      </w:r>
      <w:r w:rsidR="00D36A8D" w:rsidRPr="005F25CA">
        <w:rPr>
          <w:sz w:val="24"/>
          <w:szCs w:val="24"/>
          <w:lang w:val="en-US"/>
        </w:rPr>
        <w:t xml:space="preserve"> </w:t>
      </w:r>
      <w:r w:rsidRPr="005F25CA">
        <w:rPr>
          <w:sz w:val="24"/>
          <w:szCs w:val="24"/>
          <w:lang w:val="en-US" w:eastAsia="en-US" w:bidi="en-US"/>
        </w:rPr>
        <w:t>With low-molecular-weight heparin, plasma decay occurs more quickly for anti-</w:t>
      </w:r>
      <w:proofErr w:type="spellStart"/>
      <w:r w:rsidRPr="005F25CA">
        <w:rPr>
          <w:sz w:val="24"/>
          <w:szCs w:val="24"/>
          <w:lang w:val="en-US" w:eastAsia="en-US" w:bidi="en-US"/>
        </w:rPr>
        <w:t>IIa</w:t>
      </w:r>
      <w:proofErr w:type="spellEnd"/>
      <w:r w:rsidRPr="005F25CA">
        <w:rPr>
          <w:sz w:val="24"/>
          <w:szCs w:val="24"/>
          <w:lang w:val="en-US" w:eastAsia="en-US" w:bidi="en-US"/>
        </w:rPr>
        <w:t xml:space="preserve"> activity than for anti-Xa activity.</w:t>
      </w:r>
    </w:p>
    <w:p w:rsidR="00512251" w:rsidRPr="005F25CA" w:rsidRDefault="00613E40"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Enoxaparin and its metabolites are eliminated via the renal route (</w:t>
      </w:r>
      <w:proofErr w:type="spellStart"/>
      <w:r w:rsidRPr="005F25CA">
        <w:rPr>
          <w:sz w:val="24"/>
          <w:szCs w:val="24"/>
          <w:lang w:val="en-US" w:eastAsia="en-US" w:bidi="en-US"/>
        </w:rPr>
        <w:t>nonsaturable</w:t>
      </w:r>
      <w:proofErr w:type="spellEnd"/>
      <w:r w:rsidRPr="005F25CA">
        <w:rPr>
          <w:sz w:val="24"/>
          <w:szCs w:val="24"/>
          <w:lang w:val="en-US" w:eastAsia="en-US" w:bidi="en-US"/>
        </w:rPr>
        <w:t xml:space="preserve"> mechanism) and by the biliary route.</w:t>
      </w:r>
    </w:p>
    <w:p w:rsidR="00512251" w:rsidRPr="005F25CA" w:rsidRDefault="00E9053F"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Renal clearance of fragments with anti-Xa activity accounts for 10% of the administered dose, and total renal excretion of active and non-active </w:t>
      </w:r>
      <w:r w:rsidR="00AC7305" w:rsidRPr="005F25CA">
        <w:rPr>
          <w:sz w:val="24"/>
          <w:szCs w:val="24"/>
          <w:lang w:val="en-US" w:eastAsia="en-US" w:bidi="en-US"/>
        </w:rPr>
        <w:t>metabolites is</w:t>
      </w:r>
      <w:r w:rsidRPr="005F25CA">
        <w:rPr>
          <w:sz w:val="24"/>
          <w:szCs w:val="24"/>
          <w:lang w:val="en-US" w:eastAsia="en-US" w:bidi="en-US"/>
        </w:rPr>
        <w:t xml:space="preserve"> 40% of the dose.</w:t>
      </w:r>
    </w:p>
    <w:p w:rsidR="00512251" w:rsidRPr="005F25CA" w:rsidRDefault="00E9053F" w:rsidP="002701F5">
      <w:pPr>
        <w:pStyle w:val="4"/>
        <w:shd w:val="clear" w:color="auto" w:fill="auto"/>
        <w:spacing w:line="240" w:lineRule="auto"/>
        <w:ind w:firstLine="0"/>
        <w:jc w:val="both"/>
        <w:rPr>
          <w:sz w:val="24"/>
          <w:szCs w:val="24"/>
          <w:lang w:val="en-US"/>
        </w:rPr>
      </w:pPr>
      <w:r w:rsidRPr="005F25CA">
        <w:rPr>
          <w:sz w:val="24"/>
          <w:szCs w:val="24"/>
          <w:u w:val="single"/>
          <w:lang w:val="en-US" w:eastAsia="en-US" w:bidi="en-US"/>
        </w:rPr>
        <w:t>High-risk populations</w:t>
      </w:r>
    </w:p>
    <w:p w:rsidR="00512251" w:rsidRPr="005F25CA" w:rsidRDefault="00E9053F" w:rsidP="002701F5">
      <w:pPr>
        <w:pStyle w:val="4"/>
        <w:shd w:val="clear" w:color="auto" w:fill="auto"/>
        <w:spacing w:line="240" w:lineRule="auto"/>
        <w:ind w:firstLine="0"/>
        <w:jc w:val="both"/>
        <w:rPr>
          <w:sz w:val="24"/>
          <w:szCs w:val="24"/>
          <w:lang w:val="en-US"/>
        </w:rPr>
      </w:pPr>
      <w:r w:rsidRPr="005F25CA">
        <w:rPr>
          <w:rStyle w:val="a7"/>
          <w:sz w:val="24"/>
          <w:szCs w:val="24"/>
          <w:lang w:val="en-US"/>
        </w:rPr>
        <w:t>Elderly patients.</w:t>
      </w:r>
      <w:r w:rsidR="00D36A8D" w:rsidRPr="005F25CA">
        <w:rPr>
          <w:rStyle w:val="TrebuchetMS75pt0pt"/>
          <w:rFonts w:ascii="Times New Roman" w:hAnsi="Times New Roman" w:cs="Times New Roman"/>
          <w:spacing w:val="0"/>
          <w:sz w:val="24"/>
          <w:szCs w:val="24"/>
          <w:lang w:val="en-US"/>
        </w:rPr>
        <w:t xml:space="preserve"> </w:t>
      </w:r>
      <w:r w:rsidR="007D2096" w:rsidRPr="005F25CA">
        <w:rPr>
          <w:sz w:val="24"/>
          <w:szCs w:val="24"/>
          <w:lang w:val="en-US" w:eastAsia="en-US" w:bidi="en-US"/>
        </w:rPr>
        <w:t>As renal function is physiologically impaired in this population, elimination is slower.</w:t>
      </w:r>
      <w:r w:rsidR="00D36A8D" w:rsidRPr="005F25CA">
        <w:rPr>
          <w:sz w:val="24"/>
          <w:szCs w:val="24"/>
          <w:lang w:val="en-US"/>
        </w:rPr>
        <w:t xml:space="preserve"> </w:t>
      </w:r>
      <w:r w:rsidR="007D2096" w:rsidRPr="005F25CA">
        <w:rPr>
          <w:sz w:val="24"/>
          <w:szCs w:val="24"/>
          <w:lang w:val="en-US" w:eastAsia="en-US" w:bidi="en-US"/>
        </w:rPr>
        <w:t>This does not affect doses or the administ</w:t>
      </w:r>
      <w:r w:rsidR="006D0C94" w:rsidRPr="005F25CA">
        <w:rPr>
          <w:sz w:val="24"/>
          <w:szCs w:val="24"/>
          <w:lang w:val="en-US" w:eastAsia="en-US" w:bidi="en-US"/>
        </w:rPr>
        <w:t>ration schedule in prophylactic</w:t>
      </w:r>
      <w:r w:rsidR="007D2096" w:rsidRPr="005F25CA">
        <w:rPr>
          <w:sz w:val="24"/>
          <w:szCs w:val="24"/>
          <w:lang w:val="en-US" w:eastAsia="en-US" w:bidi="en-US"/>
        </w:rPr>
        <w:t>.</w:t>
      </w:r>
      <w:r w:rsidR="00D36A8D" w:rsidRPr="005F25CA">
        <w:rPr>
          <w:sz w:val="24"/>
          <w:szCs w:val="24"/>
          <w:lang w:val="en-US"/>
        </w:rPr>
        <w:t xml:space="preserve"> </w:t>
      </w:r>
      <w:r w:rsidR="006D0C94" w:rsidRPr="005F25CA">
        <w:rPr>
          <w:sz w:val="24"/>
          <w:szCs w:val="24"/>
          <w:lang w:val="en-US" w:eastAsia="en-US" w:bidi="en-US"/>
        </w:rPr>
        <w:t xml:space="preserve">It is essential to systematically assess renal function in elderly patients over 75 years of age using the </w:t>
      </w:r>
      <w:proofErr w:type="spellStart"/>
      <w:r w:rsidR="006D0C94" w:rsidRPr="005F25CA">
        <w:rPr>
          <w:sz w:val="24"/>
          <w:szCs w:val="24"/>
          <w:lang w:val="en-US" w:eastAsia="en-US" w:bidi="en-US"/>
        </w:rPr>
        <w:t>Cockroft</w:t>
      </w:r>
      <w:proofErr w:type="spellEnd"/>
      <w:r w:rsidR="006D0C94" w:rsidRPr="005F25CA">
        <w:rPr>
          <w:sz w:val="24"/>
          <w:szCs w:val="24"/>
          <w:lang w:val="en-US" w:eastAsia="en-US" w:bidi="en-US"/>
        </w:rPr>
        <w:t xml:space="preserve"> formula before initiating treatment with LMWH.</w:t>
      </w:r>
    </w:p>
    <w:p w:rsidR="00512251" w:rsidRPr="005F25CA" w:rsidRDefault="00CD4356" w:rsidP="002701F5">
      <w:pPr>
        <w:pStyle w:val="4"/>
        <w:shd w:val="clear" w:color="auto" w:fill="auto"/>
        <w:spacing w:line="240" w:lineRule="auto"/>
        <w:ind w:firstLine="0"/>
        <w:jc w:val="both"/>
        <w:rPr>
          <w:sz w:val="24"/>
          <w:szCs w:val="24"/>
          <w:lang w:val="en-US"/>
        </w:rPr>
      </w:pPr>
      <w:r w:rsidRPr="005F25CA">
        <w:rPr>
          <w:rStyle w:val="a7"/>
          <w:sz w:val="24"/>
          <w:szCs w:val="24"/>
          <w:lang w:val="en-US"/>
        </w:rPr>
        <w:t xml:space="preserve">Patients with mild to moderate renal failure (creatinine clearance &gt;30 </w:t>
      </w:r>
      <w:r w:rsidR="00D027D1" w:rsidRPr="005F25CA">
        <w:rPr>
          <w:rStyle w:val="a7"/>
          <w:sz w:val="24"/>
          <w:szCs w:val="24"/>
          <w:lang w:val="en-US"/>
        </w:rPr>
        <w:t>mL</w:t>
      </w:r>
      <w:r w:rsidRPr="005F25CA">
        <w:rPr>
          <w:rStyle w:val="a7"/>
          <w:sz w:val="24"/>
          <w:szCs w:val="24"/>
          <w:lang w:val="en-US"/>
        </w:rPr>
        <w:t>/min).</w:t>
      </w:r>
      <w:r w:rsidR="00D36A8D" w:rsidRPr="005F25CA">
        <w:rPr>
          <w:rStyle w:val="a7"/>
          <w:sz w:val="24"/>
          <w:szCs w:val="24"/>
          <w:lang w:val="en-US"/>
        </w:rPr>
        <w:t xml:space="preserve"> </w:t>
      </w:r>
      <w:r w:rsidR="00AC6A63" w:rsidRPr="005F25CA">
        <w:rPr>
          <w:sz w:val="24"/>
          <w:szCs w:val="24"/>
          <w:lang w:val="en-US" w:eastAsia="en-US" w:bidi="en-US"/>
        </w:rPr>
        <w:t>In certain cases, it may be useful to monitor the circulating anti-factor Xa activity to prevent overdose when enoxaparin is used as curative treatment.</w:t>
      </w:r>
    </w:p>
    <w:p w:rsidR="00465EA7" w:rsidRPr="005F25CA" w:rsidRDefault="00465EA7" w:rsidP="002701F5">
      <w:pPr>
        <w:pStyle w:val="20"/>
        <w:shd w:val="clear" w:color="auto" w:fill="auto"/>
        <w:spacing w:after="0" w:line="240" w:lineRule="auto"/>
        <w:jc w:val="both"/>
        <w:rPr>
          <w:sz w:val="24"/>
          <w:szCs w:val="24"/>
          <w:lang w:val="en-US"/>
        </w:rPr>
      </w:pPr>
    </w:p>
    <w:p w:rsidR="00512251" w:rsidRPr="005F25CA" w:rsidRDefault="009D0CCA" w:rsidP="002701F5">
      <w:pPr>
        <w:pStyle w:val="20"/>
        <w:shd w:val="clear" w:color="auto" w:fill="auto"/>
        <w:spacing w:after="0" w:line="240" w:lineRule="auto"/>
        <w:jc w:val="both"/>
        <w:rPr>
          <w:sz w:val="24"/>
          <w:szCs w:val="24"/>
          <w:lang w:val="en-US"/>
        </w:rPr>
      </w:pPr>
      <w:r>
        <w:rPr>
          <w:sz w:val="24"/>
          <w:szCs w:val="24"/>
          <w:lang w:val="en-US"/>
        </w:rPr>
        <w:t>Clinical particulars</w:t>
      </w:r>
    </w:p>
    <w:p w:rsidR="00512251" w:rsidRPr="005F25CA" w:rsidRDefault="009D0CCA" w:rsidP="002701F5">
      <w:pPr>
        <w:pStyle w:val="30"/>
        <w:shd w:val="clear" w:color="auto" w:fill="auto"/>
        <w:spacing w:before="0" w:line="240" w:lineRule="auto"/>
        <w:jc w:val="both"/>
        <w:rPr>
          <w:sz w:val="24"/>
          <w:szCs w:val="24"/>
          <w:lang w:val="en-US"/>
        </w:rPr>
      </w:pPr>
      <w:r>
        <w:rPr>
          <w:sz w:val="24"/>
          <w:szCs w:val="24"/>
          <w:lang w:val="en-US"/>
        </w:rPr>
        <w:t>Indications</w:t>
      </w:r>
    </w:p>
    <w:p w:rsidR="00512251" w:rsidRPr="005F25CA" w:rsidRDefault="00AC6A63" w:rsidP="00465EA7">
      <w:pPr>
        <w:pStyle w:val="4"/>
        <w:numPr>
          <w:ilvl w:val="0"/>
          <w:numId w:val="9"/>
        </w:numPr>
        <w:shd w:val="clear" w:color="auto" w:fill="auto"/>
        <w:spacing w:line="240" w:lineRule="auto"/>
        <w:jc w:val="both"/>
        <w:rPr>
          <w:sz w:val="24"/>
          <w:szCs w:val="24"/>
          <w:lang w:val="en-US"/>
        </w:rPr>
      </w:pPr>
      <w:r w:rsidRPr="005F25CA">
        <w:rPr>
          <w:sz w:val="24"/>
          <w:szCs w:val="24"/>
          <w:lang w:val="en-US"/>
        </w:rPr>
        <w:t>Pr</w:t>
      </w:r>
      <w:r w:rsidR="005D54B5" w:rsidRPr="005F25CA">
        <w:rPr>
          <w:sz w:val="24"/>
          <w:szCs w:val="24"/>
          <w:lang w:val="en-US"/>
        </w:rPr>
        <w:t xml:space="preserve">evention </w:t>
      </w:r>
      <w:r w:rsidRPr="005F25CA">
        <w:rPr>
          <w:sz w:val="24"/>
          <w:szCs w:val="24"/>
          <w:lang w:val="en-US"/>
        </w:rPr>
        <w:t>of venous thromboembolic disease in moderate or high risk surgery;</w:t>
      </w:r>
    </w:p>
    <w:p w:rsidR="00512251" w:rsidRPr="005F25CA" w:rsidRDefault="00AC6A63" w:rsidP="00465EA7">
      <w:pPr>
        <w:pStyle w:val="4"/>
        <w:numPr>
          <w:ilvl w:val="0"/>
          <w:numId w:val="9"/>
        </w:numPr>
        <w:shd w:val="clear" w:color="auto" w:fill="auto"/>
        <w:spacing w:line="240" w:lineRule="auto"/>
        <w:jc w:val="both"/>
        <w:rPr>
          <w:sz w:val="24"/>
          <w:szCs w:val="24"/>
          <w:lang w:val="en-US"/>
        </w:rPr>
      </w:pPr>
      <w:r w:rsidRPr="005F25CA">
        <w:rPr>
          <w:sz w:val="24"/>
          <w:szCs w:val="24"/>
          <w:lang w:val="en-US"/>
        </w:rPr>
        <w:t>Pr</w:t>
      </w:r>
      <w:r w:rsidR="005D54B5" w:rsidRPr="005F25CA">
        <w:rPr>
          <w:sz w:val="24"/>
          <w:szCs w:val="24"/>
          <w:lang w:val="en-US"/>
        </w:rPr>
        <w:t>evention</w:t>
      </w:r>
      <w:r w:rsidRPr="005F25CA">
        <w:rPr>
          <w:sz w:val="24"/>
          <w:szCs w:val="24"/>
          <w:lang w:val="en-US"/>
        </w:rPr>
        <w:t xml:space="preserve"> of deep vein thrombosis in patients who are bedridden due to acute medical conditions:</w:t>
      </w:r>
      <w:r w:rsidR="00D36A8D" w:rsidRPr="005F25CA">
        <w:rPr>
          <w:sz w:val="24"/>
          <w:szCs w:val="24"/>
          <w:lang w:val="en-US"/>
        </w:rPr>
        <w:t xml:space="preserve"> </w:t>
      </w:r>
      <w:r w:rsidRPr="005F25CA">
        <w:rPr>
          <w:sz w:val="24"/>
          <w:szCs w:val="24"/>
          <w:lang w:val="en-US"/>
        </w:rPr>
        <w:t>heart failure (NYHA class III or IV), acute respiratory failure, acute infection or acute rheumatic disorder associated with at least one other risk factor for venous thromboembolic disease;</w:t>
      </w:r>
    </w:p>
    <w:p w:rsidR="00512251" w:rsidRPr="005F25CA" w:rsidRDefault="005D54B5" w:rsidP="00465EA7">
      <w:pPr>
        <w:pStyle w:val="4"/>
        <w:numPr>
          <w:ilvl w:val="0"/>
          <w:numId w:val="9"/>
        </w:numPr>
        <w:shd w:val="clear" w:color="auto" w:fill="auto"/>
        <w:spacing w:line="240" w:lineRule="auto"/>
        <w:jc w:val="both"/>
        <w:rPr>
          <w:sz w:val="24"/>
          <w:szCs w:val="24"/>
          <w:lang w:val="en-US"/>
        </w:rPr>
      </w:pPr>
      <w:r w:rsidRPr="005F25CA">
        <w:rPr>
          <w:sz w:val="24"/>
          <w:szCs w:val="24"/>
          <w:lang w:val="en-US"/>
        </w:rPr>
        <w:t>P</w:t>
      </w:r>
      <w:r w:rsidR="00AC6A63" w:rsidRPr="005F25CA">
        <w:rPr>
          <w:sz w:val="24"/>
          <w:szCs w:val="24"/>
          <w:lang w:val="en-US"/>
        </w:rPr>
        <w:t>revention</w:t>
      </w:r>
      <w:r w:rsidRPr="005F25CA">
        <w:rPr>
          <w:sz w:val="24"/>
          <w:szCs w:val="24"/>
          <w:lang w:val="en-US"/>
        </w:rPr>
        <w:t xml:space="preserve"> </w:t>
      </w:r>
      <w:r w:rsidR="00AC6A63" w:rsidRPr="005F25CA">
        <w:rPr>
          <w:sz w:val="24"/>
          <w:szCs w:val="24"/>
          <w:lang w:val="en-US"/>
        </w:rPr>
        <w:t xml:space="preserve">of clotting in the extra-corporeal circulation during hemodialysis (generally a session of 4 </w:t>
      </w:r>
      <w:proofErr w:type="spellStart"/>
      <w:r w:rsidR="00AC6A63" w:rsidRPr="005F25CA">
        <w:rPr>
          <w:sz w:val="24"/>
          <w:szCs w:val="24"/>
          <w:lang w:val="en-US"/>
        </w:rPr>
        <w:t>hrs</w:t>
      </w:r>
      <w:proofErr w:type="spellEnd"/>
      <w:r w:rsidR="00AC6A63" w:rsidRPr="005F25CA">
        <w:rPr>
          <w:sz w:val="24"/>
          <w:szCs w:val="24"/>
          <w:lang w:val="en-US"/>
        </w:rPr>
        <w:t xml:space="preserve"> or less);</w:t>
      </w:r>
    </w:p>
    <w:p w:rsidR="00512251" w:rsidRPr="005F25CA" w:rsidRDefault="005D54B5" w:rsidP="00465EA7">
      <w:pPr>
        <w:pStyle w:val="4"/>
        <w:numPr>
          <w:ilvl w:val="0"/>
          <w:numId w:val="9"/>
        </w:numPr>
        <w:shd w:val="clear" w:color="auto" w:fill="auto"/>
        <w:spacing w:line="240" w:lineRule="auto"/>
        <w:jc w:val="both"/>
        <w:rPr>
          <w:sz w:val="24"/>
          <w:szCs w:val="24"/>
          <w:lang w:val="en-US"/>
        </w:rPr>
      </w:pPr>
      <w:r w:rsidRPr="005F25CA">
        <w:rPr>
          <w:sz w:val="24"/>
          <w:szCs w:val="24"/>
          <w:lang w:val="en-US"/>
        </w:rPr>
        <w:t>T</w:t>
      </w:r>
      <w:r w:rsidR="00AC6A63" w:rsidRPr="005F25CA">
        <w:rPr>
          <w:sz w:val="24"/>
          <w:szCs w:val="24"/>
          <w:lang w:val="en-US"/>
        </w:rPr>
        <w:t>reatment</w:t>
      </w:r>
      <w:r w:rsidRPr="005F25CA">
        <w:rPr>
          <w:sz w:val="24"/>
          <w:szCs w:val="24"/>
          <w:lang w:val="en-US"/>
        </w:rPr>
        <w:t xml:space="preserve"> </w:t>
      </w:r>
      <w:r w:rsidR="00AC6A63" w:rsidRPr="005F25CA">
        <w:rPr>
          <w:sz w:val="24"/>
          <w:szCs w:val="24"/>
          <w:lang w:val="en-US"/>
        </w:rPr>
        <w:t>of established deep vein thrombosis, with or without pulmonary embolism, without signs of clinical severity, excluding pulmonary embolism likely to require treatment with a thrombolytic agent or by surgery</w:t>
      </w:r>
      <w:r w:rsidR="00081B80" w:rsidRPr="005F25CA">
        <w:rPr>
          <w:sz w:val="24"/>
          <w:szCs w:val="24"/>
          <w:lang w:val="en-US"/>
        </w:rPr>
        <w:t>;</w:t>
      </w:r>
    </w:p>
    <w:p w:rsidR="00512251" w:rsidRPr="005F25CA" w:rsidRDefault="005D54B5" w:rsidP="00465EA7">
      <w:pPr>
        <w:pStyle w:val="4"/>
        <w:numPr>
          <w:ilvl w:val="0"/>
          <w:numId w:val="9"/>
        </w:numPr>
        <w:shd w:val="clear" w:color="auto" w:fill="auto"/>
        <w:spacing w:line="240" w:lineRule="auto"/>
        <w:jc w:val="both"/>
        <w:rPr>
          <w:sz w:val="24"/>
          <w:szCs w:val="24"/>
          <w:lang w:val="en-US"/>
        </w:rPr>
      </w:pPr>
      <w:r w:rsidRPr="005F25CA">
        <w:rPr>
          <w:sz w:val="24"/>
          <w:szCs w:val="24"/>
          <w:lang w:val="en-US"/>
        </w:rPr>
        <w:t>T</w:t>
      </w:r>
      <w:r w:rsidR="00081B80" w:rsidRPr="005F25CA">
        <w:rPr>
          <w:sz w:val="24"/>
          <w:szCs w:val="24"/>
          <w:lang w:val="en-US"/>
        </w:rPr>
        <w:t>reatment</w:t>
      </w:r>
      <w:r w:rsidRPr="005F25CA">
        <w:rPr>
          <w:sz w:val="24"/>
          <w:szCs w:val="24"/>
          <w:lang w:val="en-US"/>
        </w:rPr>
        <w:t xml:space="preserve"> </w:t>
      </w:r>
      <w:r w:rsidR="00081B80" w:rsidRPr="005F25CA">
        <w:rPr>
          <w:sz w:val="24"/>
          <w:szCs w:val="24"/>
          <w:lang w:val="en-US"/>
        </w:rPr>
        <w:t>of unstable angina and acute non-Q-wave myocardial infarction, in combination with acetylsalicylic acid;</w:t>
      </w:r>
    </w:p>
    <w:p w:rsidR="00512251" w:rsidRPr="005F25CA" w:rsidRDefault="005D54B5" w:rsidP="00465EA7">
      <w:pPr>
        <w:pStyle w:val="4"/>
        <w:numPr>
          <w:ilvl w:val="0"/>
          <w:numId w:val="9"/>
        </w:numPr>
        <w:shd w:val="clear" w:color="auto" w:fill="auto"/>
        <w:spacing w:line="240" w:lineRule="auto"/>
        <w:jc w:val="both"/>
        <w:rPr>
          <w:sz w:val="24"/>
          <w:szCs w:val="24"/>
          <w:lang w:val="en-US"/>
        </w:rPr>
      </w:pPr>
      <w:r w:rsidRPr="005F25CA">
        <w:rPr>
          <w:sz w:val="24"/>
          <w:szCs w:val="24"/>
          <w:lang w:val="en-US"/>
        </w:rPr>
        <w:t>T</w:t>
      </w:r>
      <w:r w:rsidR="00081B80" w:rsidRPr="005F25CA">
        <w:rPr>
          <w:sz w:val="24"/>
          <w:szCs w:val="24"/>
          <w:lang w:val="en-US"/>
        </w:rPr>
        <w:t>reatment</w:t>
      </w:r>
      <w:r w:rsidRPr="005F25CA">
        <w:rPr>
          <w:sz w:val="24"/>
          <w:szCs w:val="24"/>
          <w:lang w:val="en-US"/>
        </w:rPr>
        <w:t xml:space="preserve"> </w:t>
      </w:r>
      <w:r w:rsidR="00081B80" w:rsidRPr="005F25CA">
        <w:rPr>
          <w:sz w:val="24"/>
          <w:szCs w:val="24"/>
          <w:lang w:val="en-US"/>
        </w:rPr>
        <w:t xml:space="preserve">of acute ST-segment elevation myocardial infarction, in combination with a thrombolytic </w:t>
      </w:r>
      <w:r w:rsidRPr="005F25CA">
        <w:rPr>
          <w:sz w:val="24"/>
          <w:szCs w:val="24"/>
          <w:lang w:val="en-US"/>
        </w:rPr>
        <w:t xml:space="preserve">agent in </w:t>
      </w:r>
      <w:r w:rsidR="00081B80" w:rsidRPr="005F25CA">
        <w:rPr>
          <w:sz w:val="24"/>
          <w:szCs w:val="24"/>
          <w:lang w:val="en-US"/>
        </w:rPr>
        <w:t>patients eligible or not for subsequent coronary angioplasty.</w:t>
      </w:r>
    </w:p>
    <w:p w:rsidR="005D54B5" w:rsidRPr="005F25CA" w:rsidRDefault="005D54B5" w:rsidP="002701F5">
      <w:pPr>
        <w:pStyle w:val="30"/>
        <w:shd w:val="clear" w:color="auto" w:fill="auto"/>
        <w:spacing w:before="0" w:line="240" w:lineRule="auto"/>
        <w:jc w:val="both"/>
        <w:rPr>
          <w:rStyle w:val="31"/>
          <w:b/>
          <w:bCs/>
          <w:i/>
          <w:iCs/>
          <w:sz w:val="24"/>
          <w:szCs w:val="24"/>
          <w:lang w:val="en-US"/>
        </w:rPr>
      </w:pPr>
    </w:p>
    <w:p w:rsidR="00512251" w:rsidRPr="005F25CA" w:rsidRDefault="00081B80" w:rsidP="002701F5">
      <w:pPr>
        <w:pStyle w:val="30"/>
        <w:shd w:val="clear" w:color="auto" w:fill="auto"/>
        <w:spacing w:before="0" w:line="240" w:lineRule="auto"/>
        <w:jc w:val="both"/>
        <w:rPr>
          <w:sz w:val="24"/>
          <w:szCs w:val="24"/>
          <w:lang w:val="en-US"/>
        </w:rPr>
      </w:pPr>
      <w:r w:rsidRPr="005F25CA">
        <w:rPr>
          <w:rStyle w:val="31"/>
          <w:b/>
          <w:bCs/>
          <w:i/>
          <w:iCs/>
          <w:sz w:val="24"/>
          <w:szCs w:val="24"/>
          <w:lang w:val="en-US"/>
        </w:rPr>
        <w:t>Contraindications.</w:t>
      </w:r>
    </w:p>
    <w:p w:rsidR="00512251" w:rsidRPr="005F25CA" w:rsidRDefault="00081B80" w:rsidP="002701F5">
      <w:pPr>
        <w:pStyle w:val="41"/>
        <w:shd w:val="clear" w:color="auto" w:fill="auto"/>
        <w:spacing w:line="240" w:lineRule="auto"/>
        <w:jc w:val="both"/>
        <w:rPr>
          <w:sz w:val="24"/>
          <w:szCs w:val="24"/>
          <w:lang w:val="en-US"/>
        </w:rPr>
      </w:pPr>
      <w:r w:rsidRPr="005F25CA">
        <w:rPr>
          <w:rStyle w:val="42"/>
          <w:i/>
          <w:iCs/>
          <w:sz w:val="24"/>
          <w:szCs w:val="24"/>
          <w:lang w:val="en-US"/>
        </w:rPr>
        <w:t>For 2</w:t>
      </w:r>
      <w:r w:rsidR="00A93897" w:rsidRPr="005F25CA">
        <w:rPr>
          <w:rStyle w:val="42"/>
          <w:i/>
          <w:iCs/>
          <w:sz w:val="24"/>
          <w:szCs w:val="24"/>
          <w:lang w:val="en-US"/>
        </w:rPr>
        <w:t>,</w:t>
      </w:r>
      <w:r w:rsidRPr="005F25CA">
        <w:rPr>
          <w:rStyle w:val="42"/>
          <w:i/>
          <w:iCs/>
          <w:sz w:val="24"/>
          <w:szCs w:val="24"/>
          <w:lang w:val="en-US"/>
        </w:rPr>
        <w:t xml:space="preserve">000 anti-Ха IU/0.2 </w:t>
      </w:r>
      <w:r w:rsidR="00D027D1" w:rsidRPr="005F25CA">
        <w:rPr>
          <w:rStyle w:val="42"/>
          <w:i/>
          <w:iCs/>
          <w:sz w:val="24"/>
          <w:szCs w:val="24"/>
          <w:lang w:val="en-US"/>
        </w:rPr>
        <w:t>mL</w:t>
      </w:r>
      <w:r w:rsidRPr="005F25CA">
        <w:rPr>
          <w:rStyle w:val="42"/>
          <w:i/>
          <w:iCs/>
          <w:sz w:val="24"/>
          <w:szCs w:val="24"/>
          <w:lang w:val="en-US"/>
        </w:rPr>
        <w:t>, equivalent to 20 mg of enoxaparin sodium;</w:t>
      </w:r>
    </w:p>
    <w:p w:rsidR="00512251" w:rsidRPr="005F25CA" w:rsidRDefault="00081B80" w:rsidP="002701F5">
      <w:pPr>
        <w:pStyle w:val="41"/>
        <w:shd w:val="clear" w:color="auto" w:fill="auto"/>
        <w:spacing w:line="240" w:lineRule="auto"/>
        <w:jc w:val="both"/>
        <w:rPr>
          <w:sz w:val="24"/>
          <w:szCs w:val="24"/>
          <w:lang w:val="en-US"/>
        </w:rPr>
      </w:pPr>
      <w:r w:rsidRPr="005F25CA">
        <w:rPr>
          <w:rStyle w:val="42"/>
          <w:i/>
          <w:iCs/>
          <w:sz w:val="24"/>
          <w:szCs w:val="24"/>
          <w:lang w:val="en-US"/>
        </w:rPr>
        <w:t>For 4</w:t>
      </w:r>
      <w:r w:rsidR="00A93897" w:rsidRPr="005F25CA">
        <w:rPr>
          <w:rStyle w:val="42"/>
          <w:i/>
          <w:iCs/>
          <w:sz w:val="24"/>
          <w:szCs w:val="24"/>
          <w:lang w:val="en-US"/>
        </w:rPr>
        <w:t>,</w:t>
      </w:r>
      <w:r w:rsidRPr="005F25CA">
        <w:rPr>
          <w:rStyle w:val="42"/>
          <w:i/>
          <w:iCs/>
          <w:sz w:val="24"/>
          <w:szCs w:val="24"/>
          <w:lang w:val="en-US"/>
        </w:rPr>
        <w:t xml:space="preserve">000 anti-Ха IU/0.4 </w:t>
      </w:r>
      <w:r w:rsidR="00D027D1" w:rsidRPr="005F25CA">
        <w:rPr>
          <w:rStyle w:val="42"/>
          <w:i/>
          <w:iCs/>
          <w:sz w:val="24"/>
          <w:szCs w:val="24"/>
          <w:lang w:val="en-US"/>
        </w:rPr>
        <w:t>mL</w:t>
      </w:r>
      <w:r w:rsidRPr="005F25CA">
        <w:rPr>
          <w:rStyle w:val="42"/>
          <w:i/>
          <w:iCs/>
          <w:sz w:val="24"/>
          <w:szCs w:val="24"/>
          <w:lang w:val="en-US"/>
        </w:rPr>
        <w:t>, equivalent to 40 mg of enoxaparin sodium;</w:t>
      </w:r>
    </w:p>
    <w:p w:rsidR="00512251" w:rsidRPr="005F25CA" w:rsidRDefault="00081B80" w:rsidP="002701F5">
      <w:pPr>
        <w:pStyle w:val="41"/>
        <w:shd w:val="clear" w:color="auto" w:fill="auto"/>
        <w:spacing w:line="240" w:lineRule="auto"/>
        <w:jc w:val="both"/>
        <w:rPr>
          <w:sz w:val="24"/>
          <w:szCs w:val="24"/>
          <w:lang w:val="en-US"/>
        </w:rPr>
      </w:pPr>
      <w:r w:rsidRPr="005F25CA">
        <w:rPr>
          <w:rStyle w:val="42"/>
          <w:i/>
          <w:iCs/>
          <w:sz w:val="24"/>
          <w:szCs w:val="24"/>
          <w:lang w:val="en-US"/>
        </w:rPr>
        <w:t>For 6</w:t>
      </w:r>
      <w:r w:rsidR="00A93897" w:rsidRPr="005F25CA">
        <w:rPr>
          <w:rStyle w:val="42"/>
          <w:i/>
          <w:iCs/>
          <w:sz w:val="24"/>
          <w:szCs w:val="24"/>
          <w:lang w:val="en-US"/>
        </w:rPr>
        <w:t>,</w:t>
      </w:r>
      <w:r w:rsidRPr="005F25CA">
        <w:rPr>
          <w:rStyle w:val="42"/>
          <w:i/>
          <w:iCs/>
          <w:sz w:val="24"/>
          <w:szCs w:val="24"/>
          <w:lang w:val="en-US"/>
        </w:rPr>
        <w:t xml:space="preserve">000 anti-Ха IU/0.6 </w:t>
      </w:r>
      <w:r w:rsidR="00D027D1" w:rsidRPr="005F25CA">
        <w:rPr>
          <w:rStyle w:val="42"/>
          <w:i/>
          <w:iCs/>
          <w:sz w:val="24"/>
          <w:szCs w:val="24"/>
          <w:lang w:val="en-US"/>
        </w:rPr>
        <w:t>mL</w:t>
      </w:r>
      <w:r w:rsidRPr="005F25CA">
        <w:rPr>
          <w:rStyle w:val="42"/>
          <w:i/>
          <w:iCs/>
          <w:sz w:val="24"/>
          <w:szCs w:val="24"/>
          <w:lang w:val="en-US"/>
        </w:rPr>
        <w:t>, equivalent to 60 mg of enoxaparin sodium;</w:t>
      </w:r>
    </w:p>
    <w:p w:rsidR="00081B80" w:rsidRPr="005F25CA" w:rsidRDefault="00081B80" w:rsidP="002701F5">
      <w:pPr>
        <w:pStyle w:val="41"/>
        <w:spacing w:line="240" w:lineRule="auto"/>
        <w:rPr>
          <w:sz w:val="24"/>
          <w:szCs w:val="24"/>
          <w:lang w:val="en-US"/>
        </w:rPr>
      </w:pPr>
      <w:r w:rsidRPr="005F25CA">
        <w:rPr>
          <w:rStyle w:val="42"/>
          <w:i/>
          <w:iCs/>
          <w:sz w:val="24"/>
          <w:szCs w:val="24"/>
          <w:lang w:val="en-US"/>
        </w:rPr>
        <w:t>For 8</w:t>
      </w:r>
      <w:r w:rsidR="00A93897" w:rsidRPr="005F25CA">
        <w:rPr>
          <w:rStyle w:val="42"/>
          <w:i/>
          <w:iCs/>
          <w:sz w:val="24"/>
          <w:szCs w:val="24"/>
          <w:lang w:val="en-US"/>
        </w:rPr>
        <w:t>,</w:t>
      </w:r>
      <w:r w:rsidRPr="005F25CA">
        <w:rPr>
          <w:rStyle w:val="42"/>
          <w:i/>
          <w:iCs/>
          <w:sz w:val="24"/>
          <w:szCs w:val="24"/>
          <w:lang w:val="en-US"/>
        </w:rPr>
        <w:t xml:space="preserve">000 anti-Ха IU/0.8 </w:t>
      </w:r>
      <w:r w:rsidR="00D027D1" w:rsidRPr="005F25CA">
        <w:rPr>
          <w:rStyle w:val="42"/>
          <w:i/>
          <w:iCs/>
          <w:sz w:val="24"/>
          <w:szCs w:val="24"/>
          <w:lang w:val="en-US"/>
        </w:rPr>
        <w:t>mL</w:t>
      </w:r>
      <w:r w:rsidRPr="005F25CA">
        <w:rPr>
          <w:rStyle w:val="42"/>
          <w:i/>
          <w:iCs/>
          <w:sz w:val="24"/>
          <w:szCs w:val="24"/>
          <w:lang w:val="en-US"/>
        </w:rPr>
        <w:t>, equivalent to 80 mg of enoxaparin sodium</w:t>
      </w:r>
      <w:r w:rsidR="00D36A8D" w:rsidRPr="005F25CA">
        <w:rPr>
          <w:sz w:val="24"/>
          <w:szCs w:val="24"/>
          <w:lang w:val="en-US"/>
        </w:rPr>
        <w:t xml:space="preserve"> </w:t>
      </w:r>
    </w:p>
    <w:p w:rsidR="00512251" w:rsidRPr="005F25CA" w:rsidRDefault="0062324A" w:rsidP="002701F5">
      <w:pPr>
        <w:pStyle w:val="41"/>
        <w:spacing w:line="240" w:lineRule="auto"/>
        <w:rPr>
          <w:sz w:val="24"/>
          <w:szCs w:val="24"/>
          <w:lang w:val="en-US"/>
        </w:rPr>
      </w:pPr>
      <w:r w:rsidRPr="005F25CA">
        <w:rPr>
          <w:sz w:val="24"/>
          <w:szCs w:val="24"/>
          <w:lang w:val="en-US" w:eastAsia="en-US" w:bidi="en-US"/>
        </w:rPr>
        <w:t xml:space="preserve">This medicinal product </w:t>
      </w:r>
      <w:r w:rsidRPr="005F25CA">
        <w:rPr>
          <w:rStyle w:val="a8"/>
          <w:rFonts w:eastAsia="Franklin Gothic Medium Cond"/>
          <w:b w:val="0"/>
          <w:sz w:val="24"/>
          <w:szCs w:val="24"/>
          <w:u w:val="single"/>
          <w:lang w:val="en-US"/>
        </w:rPr>
        <w:t>must not be used</w:t>
      </w:r>
      <w:r w:rsidRPr="005F25CA">
        <w:rPr>
          <w:rStyle w:val="a8"/>
          <w:rFonts w:eastAsia="Franklin Gothic Medium Cond"/>
          <w:sz w:val="24"/>
          <w:szCs w:val="24"/>
          <w:lang w:val="en-US"/>
        </w:rPr>
        <w:t xml:space="preserve"> </w:t>
      </w:r>
      <w:r w:rsidRPr="005F25CA">
        <w:rPr>
          <w:sz w:val="24"/>
          <w:szCs w:val="24"/>
          <w:lang w:val="en-US" w:eastAsia="en-US" w:bidi="en-US"/>
        </w:rPr>
        <w:t>in the following situations</w:t>
      </w:r>
    </w:p>
    <w:p w:rsidR="00512251" w:rsidRPr="005F25CA" w:rsidRDefault="00A93897" w:rsidP="00A93897">
      <w:pPr>
        <w:pStyle w:val="4"/>
        <w:numPr>
          <w:ilvl w:val="0"/>
          <w:numId w:val="10"/>
        </w:numPr>
        <w:shd w:val="clear" w:color="auto" w:fill="auto"/>
        <w:spacing w:line="240" w:lineRule="auto"/>
        <w:jc w:val="both"/>
        <w:rPr>
          <w:sz w:val="24"/>
          <w:szCs w:val="24"/>
          <w:lang w:val="en-US"/>
        </w:rPr>
      </w:pPr>
      <w:r w:rsidRPr="005F25CA">
        <w:rPr>
          <w:sz w:val="24"/>
          <w:szCs w:val="24"/>
          <w:lang w:val="en-US"/>
        </w:rPr>
        <w:t>h</w:t>
      </w:r>
      <w:r w:rsidR="004D28EC" w:rsidRPr="005F25CA">
        <w:rPr>
          <w:sz w:val="24"/>
          <w:szCs w:val="24"/>
          <w:lang w:val="en-US"/>
        </w:rPr>
        <w:t>ypersensitivity to enoxaparin, heparin or its derivatives, including the other low molecular weight heparins;</w:t>
      </w:r>
    </w:p>
    <w:p w:rsidR="00512251" w:rsidRPr="005F25CA" w:rsidRDefault="004D28EC" w:rsidP="00A93897">
      <w:pPr>
        <w:pStyle w:val="4"/>
        <w:numPr>
          <w:ilvl w:val="0"/>
          <w:numId w:val="10"/>
        </w:numPr>
        <w:shd w:val="clear" w:color="auto" w:fill="auto"/>
        <w:spacing w:line="240" w:lineRule="auto"/>
        <w:jc w:val="both"/>
        <w:rPr>
          <w:sz w:val="24"/>
          <w:szCs w:val="24"/>
          <w:lang w:val="en-US"/>
        </w:rPr>
      </w:pPr>
      <w:r w:rsidRPr="005F25CA">
        <w:rPr>
          <w:sz w:val="24"/>
          <w:szCs w:val="24"/>
          <w:lang w:val="en-US"/>
        </w:rPr>
        <w:lastRenderedPageBreak/>
        <w:t xml:space="preserve">history of severe type-II heparin-induced </w:t>
      </w:r>
      <w:r w:rsidR="005F25CA" w:rsidRPr="005F25CA">
        <w:rPr>
          <w:sz w:val="24"/>
          <w:szCs w:val="24"/>
          <w:lang w:val="en-US"/>
        </w:rPr>
        <w:t>thrombocytopenia</w:t>
      </w:r>
      <w:r w:rsidRPr="005F25CA">
        <w:rPr>
          <w:sz w:val="24"/>
          <w:szCs w:val="24"/>
          <w:lang w:val="en-US"/>
        </w:rPr>
        <w:t xml:space="preserve"> (or HIT) induced </w:t>
      </w:r>
      <w:r w:rsidR="00A93897" w:rsidRPr="005F25CA">
        <w:rPr>
          <w:sz w:val="24"/>
          <w:szCs w:val="24"/>
          <w:lang w:val="en-US"/>
        </w:rPr>
        <w:t xml:space="preserve">by </w:t>
      </w:r>
      <w:r w:rsidRPr="005F25CA">
        <w:rPr>
          <w:sz w:val="24"/>
          <w:szCs w:val="24"/>
          <w:lang w:val="en-US"/>
        </w:rPr>
        <w:t>unfractionated heparin or</w:t>
      </w:r>
      <w:r w:rsidR="00A93897" w:rsidRPr="005F25CA">
        <w:rPr>
          <w:sz w:val="24"/>
          <w:szCs w:val="24"/>
          <w:lang w:val="en-US"/>
        </w:rPr>
        <w:t xml:space="preserve"> by </w:t>
      </w:r>
      <w:r w:rsidRPr="005F25CA">
        <w:rPr>
          <w:sz w:val="24"/>
          <w:szCs w:val="24"/>
          <w:lang w:val="en-US"/>
        </w:rPr>
        <w:t>low molecular weight heparin (se</w:t>
      </w:r>
      <w:r w:rsidR="00A93897" w:rsidRPr="005F25CA">
        <w:rPr>
          <w:sz w:val="24"/>
          <w:szCs w:val="24"/>
          <w:lang w:val="en-US"/>
        </w:rPr>
        <w:t>e</w:t>
      </w:r>
      <w:r w:rsidRPr="005F25CA">
        <w:rPr>
          <w:sz w:val="24"/>
          <w:szCs w:val="24"/>
          <w:lang w:val="en-US"/>
        </w:rPr>
        <w:t xml:space="preserve"> </w:t>
      </w:r>
      <w:r w:rsidR="00A93897" w:rsidRPr="005F25CA">
        <w:rPr>
          <w:sz w:val="24"/>
          <w:szCs w:val="24"/>
          <w:lang w:val="en-US"/>
        </w:rPr>
        <w:t>Special warnings and precautions for use</w:t>
      </w:r>
      <w:r w:rsidRPr="005F25CA">
        <w:rPr>
          <w:sz w:val="24"/>
          <w:szCs w:val="24"/>
          <w:lang w:val="en-US"/>
        </w:rPr>
        <w:t>);</w:t>
      </w:r>
    </w:p>
    <w:p w:rsidR="00512251" w:rsidRPr="005F25CA" w:rsidRDefault="005F25CA" w:rsidP="00A93897">
      <w:pPr>
        <w:pStyle w:val="4"/>
        <w:numPr>
          <w:ilvl w:val="0"/>
          <w:numId w:val="10"/>
        </w:numPr>
        <w:shd w:val="clear" w:color="auto" w:fill="auto"/>
        <w:spacing w:line="240" w:lineRule="auto"/>
        <w:jc w:val="both"/>
        <w:rPr>
          <w:sz w:val="24"/>
          <w:szCs w:val="24"/>
          <w:lang w:val="en-US"/>
        </w:rPr>
      </w:pPr>
      <w:r w:rsidRPr="005F25CA">
        <w:rPr>
          <w:sz w:val="24"/>
          <w:szCs w:val="24"/>
          <w:lang w:val="en-US"/>
        </w:rPr>
        <w:t>hemorrhagic</w:t>
      </w:r>
      <w:r w:rsidR="004D28EC" w:rsidRPr="005F25CA">
        <w:rPr>
          <w:sz w:val="24"/>
          <w:szCs w:val="24"/>
          <w:lang w:val="en-US"/>
        </w:rPr>
        <w:t xml:space="preserve"> signs or tendencies </w:t>
      </w:r>
      <w:r w:rsidR="00A93897" w:rsidRPr="005F25CA">
        <w:rPr>
          <w:sz w:val="24"/>
          <w:szCs w:val="24"/>
          <w:lang w:val="en-US"/>
        </w:rPr>
        <w:t xml:space="preserve">associated with </w:t>
      </w:r>
      <w:r w:rsidRPr="005F25CA">
        <w:rPr>
          <w:sz w:val="24"/>
          <w:szCs w:val="24"/>
          <w:lang w:val="en-US"/>
        </w:rPr>
        <w:t>hemostasis</w:t>
      </w:r>
      <w:r w:rsidR="004D28EC" w:rsidRPr="005F25CA">
        <w:rPr>
          <w:sz w:val="24"/>
          <w:szCs w:val="24"/>
          <w:lang w:val="en-US"/>
        </w:rPr>
        <w:t xml:space="preserve"> disorders (disseminated intravascular coagulations may be an exception to this rule if these are not related to heparin treatment (se</w:t>
      </w:r>
      <w:r w:rsidR="00A93897" w:rsidRPr="005F25CA">
        <w:rPr>
          <w:sz w:val="24"/>
          <w:szCs w:val="24"/>
          <w:lang w:val="en-US"/>
        </w:rPr>
        <w:t>e</w:t>
      </w:r>
      <w:r w:rsidR="004D28EC" w:rsidRPr="005F25CA">
        <w:rPr>
          <w:sz w:val="24"/>
          <w:szCs w:val="24"/>
          <w:lang w:val="en-US"/>
        </w:rPr>
        <w:t xml:space="preserve"> </w:t>
      </w:r>
      <w:r w:rsidR="00A93897" w:rsidRPr="005F25CA">
        <w:rPr>
          <w:sz w:val="24"/>
          <w:szCs w:val="24"/>
          <w:lang w:val="en-US"/>
        </w:rPr>
        <w:t>Special warnings and precautions for use</w:t>
      </w:r>
      <w:r w:rsidR="004D28EC" w:rsidRPr="005F25CA">
        <w:rPr>
          <w:sz w:val="24"/>
          <w:szCs w:val="24"/>
          <w:lang w:val="en-US"/>
        </w:rPr>
        <w:t>);</w:t>
      </w:r>
    </w:p>
    <w:p w:rsidR="00512251" w:rsidRPr="005F25CA" w:rsidRDefault="004D28EC" w:rsidP="00A93897">
      <w:pPr>
        <w:pStyle w:val="4"/>
        <w:numPr>
          <w:ilvl w:val="0"/>
          <w:numId w:val="10"/>
        </w:numPr>
        <w:shd w:val="clear" w:color="auto" w:fill="auto"/>
        <w:spacing w:line="240" w:lineRule="auto"/>
        <w:jc w:val="both"/>
        <w:rPr>
          <w:sz w:val="24"/>
          <w:szCs w:val="24"/>
          <w:lang w:val="en-US"/>
        </w:rPr>
      </w:pPr>
      <w:r w:rsidRPr="005F25CA">
        <w:rPr>
          <w:sz w:val="24"/>
          <w:szCs w:val="24"/>
          <w:lang w:val="en-US"/>
        </w:rPr>
        <w:t>organic lesion liable to bleed;</w:t>
      </w:r>
    </w:p>
    <w:p w:rsidR="00512251" w:rsidRPr="005F25CA" w:rsidRDefault="004D28EC" w:rsidP="00A93897">
      <w:pPr>
        <w:pStyle w:val="4"/>
        <w:numPr>
          <w:ilvl w:val="0"/>
          <w:numId w:val="10"/>
        </w:numPr>
        <w:shd w:val="clear" w:color="auto" w:fill="auto"/>
        <w:spacing w:line="240" w:lineRule="auto"/>
        <w:jc w:val="both"/>
        <w:rPr>
          <w:sz w:val="24"/>
          <w:szCs w:val="24"/>
          <w:lang w:val="en-US"/>
        </w:rPr>
      </w:pPr>
      <w:r w:rsidRPr="005F25CA">
        <w:rPr>
          <w:sz w:val="24"/>
          <w:szCs w:val="24"/>
          <w:lang w:val="en-US"/>
        </w:rPr>
        <w:t>clinically significant active major bleeding;</w:t>
      </w:r>
    </w:p>
    <w:p w:rsidR="00512251" w:rsidRPr="005F25CA" w:rsidRDefault="004D28EC" w:rsidP="00A93897">
      <w:pPr>
        <w:pStyle w:val="4"/>
        <w:numPr>
          <w:ilvl w:val="0"/>
          <w:numId w:val="10"/>
        </w:numPr>
        <w:shd w:val="clear" w:color="auto" w:fill="auto"/>
        <w:spacing w:line="240" w:lineRule="auto"/>
        <w:jc w:val="both"/>
        <w:rPr>
          <w:sz w:val="24"/>
          <w:szCs w:val="24"/>
          <w:lang w:val="en-US"/>
        </w:rPr>
      </w:pPr>
      <w:r w:rsidRPr="005F25CA">
        <w:rPr>
          <w:sz w:val="24"/>
          <w:szCs w:val="24"/>
          <w:lang w:val="en-US"/>
        </w:rPr>
        <w:t>active gastric or duodenal ulcers;</w:t>
      </w:r>
    </w:p>
    <w:p w:rsidR="00512251" w:rsidRPr="005F25CA" w:rsidRDefault="00A93897" w:rsidP="00A93897">
      <w:pPr>
        <w:pStyle w:val="4"/>
        <w:numPr>
          <w:ilvl w:val="0"/>
          <w:numId w:val="10"/>
        </w:numPr>
        <w:shd w:val="clear" w:color="auto" w:fill="auto"/>
        <w:spacing w:line="240" w:lineRule="auto"/>
        <w:jc w:val="both"/>
        <w:rPr>
          <w:sz w:val="24"/>
          <w:szCs w:val="24"/>
          <w:lang w:val="en-US"/>
        </w:rPr>
      </w:pPr>
      <w:proofErr w:type="spellStart"/>
      <w:r w:rsidRPr="005F25CA">
        <w:rPr>
          <w:sz w:val="24"/>
          <w:szCs w:val="24"/>
          <w:lang w:val="en-US"/>
        </w:rPr>
        <w:t>l</w:t>
      </w:r>
      <w:r w:rsidR="004D28EC" w:rsidRPr="005F25CA">
        <w:rPr>
          <w:sz w:val="24"/>
          <w:szCs w:val="24"/>
          <w:lang w:val="en-US"/>
        </w:rPr>
        <w:t>ocoregional</w:t>
      </w:r>
      <w:proofErr w:type="spellEnd"/>
      <w:r w:rsidR="004D28EC" w:rsidRPr="005F25CA">
        <w:rPr>
          <w:sz w:val="24"/>
          <w:szCs w:val="24"/>
          <w:lang w:val="en-US"/>
        </w:rPr>
        <w:t xml:space="preserve"> </w:t>
      </w:r>
      <w:r w:rsidR="005F25CA" w:rsidRPr="005F25CA">
        <w:rPr>
          <w:sz w:val="24"/>
          <w:szCs w:val="24"/>
          <w:lang w:val="en-US"/>
        </w:rPr>
        <w:t>anesthesia</w:t>
      </w:r>
      <w:r w:rsidR="004D28EC" w:rsidRPr="005F25CA">
        <w:rPr>
          <w:sz w:val="24"/>
          <w:szCs w:val="24"/>
          <w:lang w:val="en-US"/>
        </w:rPr>
        <w:t xml:space="preserve"> in elective surgical procedures is contraindicated in patients receiving heparin for </w:t>
      </w:r>
      <w:r w:rsidRPr="005F25CA">
        <w:rPr>
          <w:sz w:val="24"/>
          <w:szCs w:val="24"/>
          <w:lang w:val="en-US"/>
        </w:rPr>
        <w:t>treatment</w:t>
      </w:r>
      <w:r w:rsidR="004D28EC" w:rsidRPr="005F25CA">
        <w:rPr>
          <w:sz w:val="24"/>
          <w:szCs w:val="24"/>
          <w:lang w:val="en-US"/>
        </w:rPr>
        <w:t xml:space="preserve"> other than prophylaxis.</w:t>
      </w:r>
    </w:p>
    <w:p w:rsidR="00A93897" w:rsidRPr="005F25CA" w:rsidRDefault="00A93897" w:rsidP="002701F5">
      <w:pPr>
        <w:pStyle w:val="41"/>
        <w:spacing w:line="240" w:lineRule="auto"/>
        <w:rPr>
          <w:rStyle w:val="42"/>
          <w:i/>
          <w:iCs/>
          <w:sz w:val="24"/>
          <w:szCs w:val="24"/>
          <w:lang w:val="en-US"/>
        </w:rPr>
      </w:pPr>
    </w:p>
    <w:p w:rsidR="004D28EC" w:rsidRPr="005F25CA" w:rsidRDefault="004D28EC" w:rsidP="002701F5">
      <w:pPr>
        <w:pStyle w:val="41"/>
        <w:spacing w:line="240" w:lineRule="auto"/>
        <w:rPr>
          <w:sz w:val="24"/>
          <w:szCs w:val="24"/>
          <w:lang w:val="en-US"/>
        </w:rPr>
      </w:pPr>
      <w:r w:rsidRPr="005F25CA">
        <w:rPr>
          <w:rStyle w:val="42"/>
          <w:i/>
          <w:iCs/>
          <w:sz w:val="24"/>
          <w:szCs w:val="24"/>
          <w:lang w:val="en-US"/>
        </w:rPr>
        <w:t>For 2</w:t>
      </w:r>
      <w:r w:rsidR="00A93897" w:rsidRPr="005F25CA">
        <w:rPr>
          <w:rStyle w:val="42"/>
          <w:i/>
          <w:iCs/>
          <w:sz w:val="24"/>
          <w:szCs w:val="24"/>
          <w:lang w:val="en-US"/>
        </w:rPr>
        <w:t>,</w:t>
      </w:r>
      <w:r w:rsidRPr="005F25CA">
        <w:rPr>
          <w:rStyle w:val="42"/>
          <w:i/>
          <w:iCs/>
          <w:sz w:val="24"/>
          <w:szCs w:val="24"/>
          <w:lang w:val="en-US"/>
        </w:rPr>
        <w:t xml:space="preserve">000 anti-Ха IU/0.2 </w:t>
      </w:r>
      <w:r w:rsidR="00D027D1" w:rsidRPr="005F25CA">
        <w:rPr>
          <w:rStyle w:val="42"/>
          <w:i/>
          <w:iCs/>
          <w:sz w:val="24"/>
          <w:szCs w:val="24"/>
          <w:lang w:val="en-US"/>
        </w:rPr>
        <w:t>mL</w:t>
      </w:r>
      <w:r w:rsidRPr="005F25CA">
        <w:rPr>
          <w:rStyle w:val="42"/>
          <w:i/>
          <w:iCs/>
          <w:sz w:val="24"/>
          <w:szCs w:val="24"/>
          <w:lang w:val="en-US"/>
        </w:rPr>
        <w:t>, equivalent to 20 mg of enoxaparin sodium;</w:t>
      </w:r>
      <w:r w:rsidR="00D36A8D" w:rsidRPr="005F25CA">
        <w:rPr>
          <w:sz w:val="24"/>
          <w:szCs w:val="24"/>
          <w:lang w:val="en-US"/>
        </w:rPr>
        <w:t xml:space="preserve"> </w:t>
      </w:r>
    </w:p>
    <w:p w:rsidR="004D28EC" w:rsidRPr="005F25CA" w:rsidRDefault="004D28EC" w:rsidP="002701F5">
      <w:pPr>
        <w:pStyle w:val="41"/>
        <w:spacing w:line="240" w:lineRule="auto"/>
        <w:rPr>
          <w:sz w:val="24"/>
          <w:szCs w:val="24"/>
          <w:lang w:val="en-US"/>
        </w:rPr>
      </w:pPr>
      <w:r w:rsidRPr="005F25CA">
        <w:rPr>
          <w:rStyle w:val="42"/>
          <w:i/>
          <w:iCs/>
          <w:sz w:val="24"/>
          <w:szCs w:val="24"/>
          <w:lang w:val="en-US"/>
        </w:rPr>
        <w:t>For 4</w:t>
      </w:r>
      <w:r w:rsidR="00A93897" w:rsidRPr="005F25CA">
        <w:rPr>
          <w:rStyle w:val="42"/>
          <w:i/>
          <w:iCs/>
          <w:sz w:val="24"/>
          <w:szCs w:val="24"/>
          <w:lang w:val="en-US"/>
        </w:rPr>
        <w:t>,</w:t>
      </w:r>
      <w:r w:rsidRPr="005F25CA">
        <w:rPr>
          <w:rStyle w:val="42"/>
          <w:i/>
          <w:iCs/>
          <w:sz w:val="24"/>
          <w:szCs w:val="24"/>
          <w:lang w:val="en-US"/>
        </w:rPr>
        <w:t xml:space="preserve">000 anti-Ха IU/0.4 </w:t>
      </w:r>
      <w:r w:rsidR="00D027D1" w:rsidRPr="005F25CA">
        <w:rPr>
          <w:rStyle w:val="42"/>
          <w:i/>
          <w:iCs/>
          <w:sz w:val="24"/>
          <w:szCs w:val="24"/>
          <w:lang w:val="en-US"/>
        </w:rPr>
        <w:t>mL</w:t>
      </w:r>
      <w:r w:rsidRPr="005F25CA">
        <w:rPr>
          <w:rStyle w:val="42"/>
          <w:i/>
          <w:iCs/>
          <w:sz w:val="24"/>
          <w:szCs w:val="24"/>
          <w:lang w:val="en-US"/>
        </w:rPr>
        <w:t>, equivalent to 40 mg of enoxaparin sodium</w:t>
      </w:r>
      <w:r w:rsidR="00D36A8D" w:rsidRPr="005F25CA">
        <w:rPr>
          <w:sz w:val="24"/>
          <w:szCs w:val="24"/>
          <w:lang w:val="en-US"/>
        </w:rPr>
        <w:t xml:space="preserve"> </w:t>
      </w:r>
    </w:p>
    <w:p w:rsidR="00512251" w:rsidRPr="005F25CA" w:rsidRDefault="004D28EC" w:rsidP="002701F5">
      <w:pPr>
        <w:pStyle w:val="41"/>
        <w:spacing w:line="240" w:lineRule="auto"/>
        <w:rPr>
          <w:sz w:val="24"/>
          <w:szCs w:val="24"/>
          <w:lang w:val="en-US"/>
        </w:rPr>
      </w:pPr>
      <w:r w:rsidRPr="005F25CA">
        <w:rPr>
          <w:sz w:val="24"/>
          <w:szCs w:val="24"/>
          <w:lang w:val="en-US"/>
        </w:rPr>
        <w:t xml:space="preserve">This medicinal product </w:t>
      </w:r>
      <w:r w:rsidRPr="005F25CA">
        <w:rPr>
          <w:sz w:val="24"/>
          <w:szCs w:val="24"/>
          <w:u w:val="single"/>
          <w:lang w:val="en-US"/>
        </w:rPr>
        <w:t>is not generally recommended</w:t>
      </w:r>
      <w:r w:rsidRPr="005F25CA">
        <w:rPr>
          <w:sz w:val="24"/>
          <w:szCs w:val="24"/>
          <w:lang w:val="en-US"/>
        </w:rPr>
        <w:t xml:space="preserve"> in the following situations</w:t>
      </w:r>
    </w:p>
    <w:p w:rsidR="00512251" w:rsidRPr="005F25CA" w:rsidRDefault="007C6037" w:rsidP="00A93897">
      <w:pPr>
        <w:pStyle w:val="4"/>
        <w:numPr>
          <w:ilvl w:val="0"/>
          <w:numId w:val="11"/>
        </w:numPr>
        <w:shd w:val="clear" w:color="auto" w:fill="auto"/>
        <w:spacing w:line="240" w:lineRule="auto"/>
        <w:jc w:val="both"/>
        <w:rPr>
          <w:sz w:val="24"/>
          <w:szCs w:val="24"/>
          <w:lang w:val="en-US"/>
        </w:rPr>
      </w:pPr>
      <w:r w:rsidRPr="005F25CA">
        <w:rPr>
          <w:sz w:val="24"/>
          <w:szCs w:val="24"/>
          <w:lang w:val="en-US"/>
        </w:rPr>
        <w:t xml:space="preserve">severe </w:t>
      </w:r>
      <w:r w:rsidR="00A93897" w:rsidRPr="005F25CA">
        <w:rPr>
          <w:sz w:val="24"/>
          <w:szCs w:val="24"/>
          <w:lang w:val="en-US"/>
        </w:rPr>
        <w:t>renal</w:t>
      </w:r>
      <w:r w:rsidRPr="005F25CA">
        <w:rPr>
          <w:sz w:val="24"/>
          <w:szCs w:val="24"/>
          <w:lang w:val="en-US"/>
        </w:rPr>
        <w:t xml:space="preserve"> failure (defined by creatinine clearance of approximately 30 </w:t>
      </w:r>
      <w:r w:rsidR="00D027D1" w:rsidRPr="005F25CA">
        <w:rPr>
          <w:sz w:val="24"/>
          <w:szCs w:val="24"/>
          <w:lang w:val="en-US"/>
        </w:rPr>
        <w:t>mL</w:t>
      </w:r>
      <w:r w:rsidRPr="005F25CA">
        <w:rPr>
          <w:sz w:val="24"/>
          <w:szCs w:val="24"/>
          <w:lang w:val="en-US"/>
        </w:rPr>
        <w:t xml:space="preserve">/min according to calculation using the </w:t>
      </w:r>
      <w:proofErr w:type="spellStart"/>
      <w:r w:rsidRPr="005F25CA">
        <w:rPr>
          <w:sz w:val="24"/>
          <w:szCs w:val="24"/>
          <w:lang w:val="en-US"/>
        </w:rPr>
        <w:t>Cockroft</w:t>
      </w:r>
      <w:proofErr w:type="spellEnd"/>
      <w:r w:rsidRPr="005F25CA">
        <w:rPr>
          <w:sz w:val="24"/>
          <w:szCs w:val="24"/>
          <w:lang w:val="en-US"/>
        </w:rPr>
        <w:t xml:space="preserve"> formula, se</w:t>
      </w:r>
      <w:r w:rsidR="00A93897" w:rsidRPr="005F25CA">
        <w:rPr>
          <w:sz w:val="24"/>
          <w:szCs w:val="24"/>
          <w:lang w:val="en-US"/>
        </w:rPr>
        <w:t>e Special warnings and precautions for use</w:t>
      </w:r>
      <w:r w:rsidRPr="005F25CA">
        <w:rPr>
          <w:sz w:val="24"/>
          <w:szCs w:val="24"/>
          <w:lang w:val="en-US"/>
        </w:rPr>
        <w:t>);</w:t>
      </w:r>
    </w:p>
    <w:p w:rsidR="00512251" w:rsidRPr="005F25CA" w:rsidRDefault="00952687" w:rsidP="00A93897">
      <w:pPr>
        <w:pStyle w:val="4"/>
        <w:numPr>
          <w:ilvl w:val="0"/>
          <w:numId w:val="11"/>
        </w:numPr>
        <w:shd w:val="clear" w:color="auto" w:fill="auto"/>
        <w:spacing w:line="240" w:lineRule="auto"/>
        <w:jc w:val="both"/>
        <w:rPr>
          <w:sz w:val="24"/>
          <w:szCs w:val="24"/>
          <w:lang w:val="en-US"/>
        </w:rPr>
      </w:pPr>
      <w:r w:rsidRPr="005F25CA">
        <w:rPr>
          <w:sz w:val="24"/>
          <w:szCs w:val="24"/>
          <w:lang w:val="en-US" w:eastAsia="en-US" w:bidi="en-US"/>
        </w:rPr>
        <w:t xml:space="preserve">during the first 24 hours following </w:t>
      </w:r>
      <w:proofErr w:type="spellStart"/>
      <w:r w:rsidRPr="005F25CA">
        <w:rPr>
          <w:sz w:val="24"/>
          <w:szCs w:val="24"/>
          <w:lang w:val="en-US" w:eastAsia="en-US" w:bidi="en-US"/>
        </w:rPr>
        <w:t>intracerebral</w:t>
      </w:r>
      <w:proofErr w:type="spellEnd"/>
      <w:r w:rsidRPr="005F25CA">
        <w:rPr>
          <w:sz w:val="24"/>
          <w:szCs w:val="24"/>
          <w:lang w:val="en-US" w:eastAsia="en-US" w:bidi="en-US"/>
        </w:rPr>
        <w:t xml:space="preserve"> hemorrhage.</w:t>
      </w:r>
    </w:p>
    <w:p w:rsidR="00512251" w:rsidRPr="005F25CA" w:rsidRDefault="00952687" w:rsidP="002701F5">
      <w:pPr>
        <w:pStyle w:val="41"/>
        <w:shd w:val="clear" w:color="auto" w:fill="auto"/>
        <w:spacing w:line="240" w:lineRule="auto"/>
        <w:jc w:val="both"/>
        <w:rPr>
          <w:i w:val="0"/>
          <w:sz w:val="24"/>
          <w:szCs w:val="24"/>
          <w:lang w:val="en-US"/>
        </w:rPr>
      </w:pPr>
      <w:r w:rsidRPr="005F25CA">
        <w:rPr>
          <w:rStyle w:val="43"/>
          <w:i/>
          <w:sz w:val="24"/>
          <w:szCs w:val="24"/>
          <w:lang w:val="en-US"/>
        </w:rPr>
        <w:t>In addition, in patients &gt; 65 years, prophylactic doses of this medicinal product are not advisable when combined with the following (se</w:t>
      </w:r>
      <w:r w:rsidR="00A93897" w:rsidRPr="005F25CA">
        <w:rPr>
          <w:rStyle w:val="43"/>
          <w:i/>
          <w:sz w:val="24"/>
          <w:szCs w:val="24"/>
          <w:lang w:val="en-US"/>
        </w:rPr>
        <w:t>e</w:t>
      </w:r>
      <w:r w:rsidRPr="005F25CA">
        <w:rPr>
          <w:rStyle w:val="43"/>
          <w:i/>
          <w:sz w:val="24"/>
          <w:szCs w:val="24"/>
          <w:lang w:val="en-US"/>
        </w:rPr>
        <w:t xml:space="preserve"> Interactions with other medicinal products and other forms of interaction):</w:t>
      </w:r>
    </w:p>
    <w:p w:rsidR="00512251" w:rsidRPr="005F25CA" w:rsidRDefault="002E6224" w:rsidP="00A93897">
      <w:pPr>
        <w:pStyle w:val="4"/>
        <w:numPr>
          <w:ilvl w:val="0"/>
          <w:numId w:val="12"/>
        </w:numPr>
        <w:shd w:val="clear" w:color="auto" w:fill="auto"/>
        <w:spacing w:line="240" w:lineRule="auto"/>
        <w:jc w:val="both"/>
        <w:rPr>
          <w:sz w:val="24"/>
          <w:szCs w:val="24"/>
          <w:lang w:val="en-US"/>
        </w:rPr>
      </w:pPr>
      <w:r w:rsidRPr="005F25CA">
        <w:rPr>
          <w:sz w:val="24"/>
          <w:szCs w:val="24"/>
          <w:lang w:val="en-US" w:eastAsia="en-US" w:bidi="en-US"/>
        </w:rPr>
        <w:t xml:space="preserve">Acetylsalicylic acid at analgesic, antipyretic and </w:t>
      </w:r>
      <w:r w:rsidR="005F25CA" w:rsidRPr="005F25CA">
        <w:rPr>
          <w:sz w:val="24"/>
          <w:szCs w:val="24"/>
          <w:lang w:val="en-US" w:eastAsia="en-US" w:bidi="en-US"/>
        </w:rPr>
        <w:t>anti-inflammatory</w:t>
      </w:r>
      <w:r w:rsidRPr="005F25CA">
        <w:rPr>
          <w:sz w:val="24"/>
          <w:szCs w:val="24"/>
          <w:lang w:val="en-US" w:eastAsia="en-US" w:bidi="en-US"/>
        </w:rPr>
        <w:t xml:space="preserve"> doses.</w:t>
      </w:r>
    </w:p>
    <w:p w:rsidR="00512251" w:rsidRPr="005F25CA" w:rsidRDefault="002E6224" w:rsidP="00A93897">
      <w:pPr>
        <w:pStyle w:val="4"/>
        <w:numPr>
          <w:ilvl w:val="0"/>
          <w:numId w:val="12"/>
        </w:numPr>
        <w:shd w:val="clear" w:color="auto" w:fill="auto"/>
        <w:spacing w:line="240" w:lineRule="auto"/>
        <w:jc w:val="both"/>
        <w:rPr>
          <w:sz w:val="24"/>
          <w:szCs w:val="24"/>
          <w:lang w:val="en-US"/>
        </w:rPr>
      </w:pPr>
      <w:r w:rsidRPr="005F25CA">
        <w:rPr>
          <w:sz w:val="24"/>
          <w:szCs w:val="24"/>
          <w:lang w:val="en-US"/>
        </w:rPr>
        <w:t>Non-steroidal anti-inflammatory drugs (NSAIDs)</w:t>
      </w:r>
      <w:r w:rsidRPr="005F25CA">
        <w:rPr>
          <w:b/>
          <w:bCs/>
          <w:i/>
          <w:iCs/>
          <w:sz w:val="24"/>
          <w:szCs w:val="24"/>
          <w:lang w:val="en-US"/>
        </w:rPr>
        <w:t xml:space="preserve"> </w:t>
      </w:r>
      <w:r w:rsidRPr="005F25CA">
        <w:rPr>
          <w:i/>
          <w:sz w:val="24"/>
          <w:szCs w:val="24"/>
          <w:lang w:val="en-US"/>
        </w:rPr>
        <w:t>(systemic use)</w:t>
      </w:r>
      <w:r w:rsidRPr="005F25CA">
        <w:rPr>
          <w:sz w:val="24"/>
          <w:szCs w:val="24"/>
          <w:lang w:val="en-US"/>
        </w:rPr>
        <w:t>.</w:t>
      </w:r>
    </w:p>
    <w:p w:rsidR="00512251" w:rsidRPr="005F25CA" w:rsidRDefault="002E6224" w:rsidP="00A93897">
      <w:pPr>
        <w:pStyle w:val="41"/>
        <w:numPr>
          <w:ilvl w:val="0"/>
          <w:numId w:val="12"/>
        </w:numPr>
        <w:shd w:val="clear" w:color="auto" w:fill="auto"/>
        <w:spacing w:line="240" w:lineRule="auto"/>
        <w:jc w:val="both"/>
        <w:rPr>
          <w:sz w:val="24"/>
          <w:szCs w:val="24"/>
          <w:lang w:val="en-US"/>
        </w:rPr>
      </w:pPr>
      <w:r w:rsidRPr="005F25CA">
        <w:rPr>
          <w:rStyle w:val="43"/>
          <w:bCs/>
          <w:sz w:val="24"/>
          <w:szCs w:val="24"/>
          <w:lang w:val="en-US"/>
        </w:rPr>
        <w:t>Dextran 40</w:t>
      </w:r>
      <w:r w:rsidRPr="005F25CA">
        <w:rPr>
          <w:rStyle w:val="43"/>
          <w:b/>
          <w:bCs/>
          <w:sz w:val="24"/>
          <w:szCs w:val="24"/>
          <w:lang w:val="en-US"/>
        </w:rPr>
        <w:t xml:space="preserve"> </w:t>
      </w:r>
      <w:r w:rsidRPr="005F25CA">
        <w:rPr>
          <w:rStyle w:val="43"/>
          <w:i/>
          <w:sz w:val="24"/>
          <w:szCs w:val="24"/>
          <w:lang w:val="en-US"/>
        </w:rPr>
        <w:t>(parenteral use).</w:t>
      </w:r>
    </w:p>
    <w:p w:rsidR="00A93897" w:rsidRPr="005F25CA" w:rsidRDefault="00A93897" w:rsidP="002701F5">
      <w:pPr>
        <w:pStyle w:val="41"/>
        <w:shd w:val="clear" w:color="auto" w:fill="auto"/>
        <w:spacing w:line="240" w:lineRule="auto"/>
        <w:jc w:val="both"/>
        <w:rPr>
          <w:rStyle w:val="42"/>
          <w:i/>
          <w:iCs/>
          <w:sz w:val="24"/>
          <w:szCs w:val="24"/>
          <w:lang w:val="en-US"/>
        </w:rPr>
      </w:pPr>
    </w:p>
    <w:p w:rsidR="00512251" w:rsidRPr="005F25CA" w:rsidRDefault="002E6224" w:rsidP="002701F5">
      <w:pPr>
        <w:pStyle w:val="41"/>
        <w:shd w:val="clear" w:color="auto" w:fill="auto"/>
        <w:spacing w:line="240" w:lineRule="auto"/>
        <w:jc w:val="both"/>
        <w:rPr>
          <w:sz w:val="24"/>
          <w:szCs w:val="24"/>
          <w:lang w:val="en-US"/>
        </w:rPr>
      </w:pPr>
      <w:r w:rsidRPr="005F25CA">
        <w:rPr>
          <w:rStyle w:val="42"/>
          <w:i/>
          <w:iCs/>
          <w:sz w:val="24"/>
          <w:szCs w:val="24"/>
          <w:lang w:val="en-US"/>
        </w:rPr>
        <w:t>For 6</w:t>
      </w:r>
      <w:r w:rsidR="00A93897" w:rsidRPr="005F25CA">
        <w:rPr>
          <w:rStyle w:val="42"/>
          <w:i/>
          <w:iCs/>
          <w:sz w:val="24"/>
          <w:szCs w:val="24"/>
          <w:lang w:val="en-US"/>
        </w:rPr>
        <w:t>,</w:t>
      </w:r>
      <w:r w:rsidRPr="005F25CA">
        <w:rPr>
          <w:rStyle w:val="42"/>
          <w:i/>
          <w:iCs/>
          <w:sz w:val="24"/>
          <w:szCs w:val="24"/>
          <w:lang w:val="en-US"/>
        </w:rPr>
        <w:t xml:space="preserve">000 anti-Ха IU/0.6 </w:t>
      </w:r>
      <w:r w:rsidR="00D027D1" w:rsidRPr="005F25CA">
        <w:rPr>
          <w:rStyle w:val="42"/>
          <w:i/>
          <w:iCs/>
          <w:sz w:val="24"/>
          <w:szCs w:val="24"/>
          <w:lang w:val="en-US"/>
        </w:rPr>
        <w:t>mL</w:t>
      </w:r>
      <w:r w:rsidRPr="005F25CA">
        <w:rPr>
          <w:rStyle w:val="42"/>
          <w:i/>
          <w:iCs/>
          <w:sz w:val="24"/>
          <w:szCs w:val="24"/>
          <w:lang w:val="en-US"/>
        </w:rPr>
        <w:t>, equivalent to 60 mg of enoxaparin sodium;</w:t>
      </w:r>
    </w:p>
    <w:p w:rsidR="002E6224" w:rsidRPr="005F25CA" w:rsidRDefault="002E6224" w:rsidP="002701F5">
      <w:pPr>
        <w:pStyle w:val="41"/>
        <w:spacing w:line="240" w:lineRule="auto"/>
        <w:rPr>
          <w:sz w:val="24"/>
          <w:szCs w:val="24"/>
          <w:lang w:val="en-US"/>
        </w:rPr>
      </w:pPr>
      <w:r w:rsidRPr="005F25CA">
        <w:rPr>
          <w:rStyle w:val="42"/>
          <w:i/>
          <w:iCs/>
          <w:sz w:val="24"/>
          <w:szCs w:val="24"/>
          <w:lang w:val="en-US"/>
        </w:rPr>
        <w:t>For 8</w:t>
      </w:r>
      <w:r w:rsidR="00A93897" w:rsidRPr="005F25CA">
        <w:rPr>
          <w:rStyle w:val="42"/>
          <w:i/>
          <w:iCs/>
          <w:sz w:val="24"/>
          <w:szCs w:val="24"/>
          <w:lang w:val="en-US"/>
        </w:rPr>
        <w:t>,</w:t>
      </w:r>
      <w:r w:rsidRPr="005F25CA">
        <w:rPr>
          <w:rStyle w:val="42"/>
          <w:i/>
          <w:iCs/>
          <w:sz w:val="24"/>
          <w:szCs w:val="24"/>
          <w:lang w:val="en-US"/>
        </w:rPr>
        <w:t xml:space="preserve">000 anti-Ха IU/0.8 </w:t>
      </w:r>
      <w:r w:rsidR="00D027D1" w:rsidRPr="005F25CA">
        <w:rPr>
          <w:rStyle w:val="42"/>
          <w:i/>
          <w:iCs/>
          <w:sz w:val="24"/>
          <w:szCs w:val="24"/>
          <w:lang w:val="en-US"/>
        </w:rPr>
        <w:t>mL</w:t>
      </w:r>
      <w:r w:rsidRPr="005F25CA">
        <w:rPr>
          <w:rStyle w:val="42"/>
          <w:i/>
          <w:iCs/>
          <w:sz w:val="24"/>
          <w:szCs w:val="24"/>
          <w:lang w:val="en-US"/>
        </w:rPr>
        <w:t>, equivalent to 80 mg of enoxaparin sodium</w:t>
      </w:r>
      <w:r w:rsidR="00D36A8D" w:rsidRPr="005F25CA">
        <w:rPr>
          <w:sz w:val="24"/>
          <w:szCs w:val="24"/>
          <w:lang w:val="en-US"/>
        </w:rPr>
        <w:t xml:space="preserve"> </w:t>
      </w:r>
    </w:p>
    <w:p w:rsidR="00512251" w:rsidRPr="005F25CA" w:rsidRDefault="002E6224" w:rsidP="002701F5">
      <w:pPr>
        <w:pStyle w:val="41"/>
        <w:spacing w:line="240" w:lineRule="auto"/>
        <w:rPr>
          <w:sz w:val="24"/>
          <w:szCs w:val="24"/>
          <w:lang w:val="en-US"/>
        </w:rPr>
      </w:pPr>
      <w:r w:rsidRPr="005F25CA">
        <w:rPr>
          <w:sz w:val="24"/>
          <w:szCs w:val="24"/>
          <w:lang w:val="en-US"/>
        </w:rPr>
        <w:t xml:space="preserve">This medicinal product </w:t>
      </w:r>
      <w:r w:rsidRPr="005F25CA">
        <w:rPr>
          <w:sz w:val="24"/>
          <w:szCs w:val="24"/>
          <w:u w:val="single"/>
          <w:lang w:val="en-US"/>
        </w:rPr>
        <w:t>is not generally recommended</w:t>
      </w:r>
      <w:r w:rsidRPr="005F25CA">
        <w:rPr>
          <w:sz w:val="24"/>
          <w:szCs w:val="24"/>
          <w:lang w:val="en-US"/>
        </w:rPr>
        <w:t xml:space="preserve"> in the following situations</w:t>
      </w:r>
    </w:p>
    <w:p w:rsidR="00512251" w:rsidRPr="005F25CA" w:rsidRDefault="001F6853" w:rsidP="00A93897">
      <w:pPr>
        <w:pStyle w:val="4"/>
        <w:numPr>
          <w:ilvl w:val="0"/>
          <w:numId w:val="13"/>
        </w:numPr>
        <w:shd w:val="clear" w:color="auto" w:fill="auto"/>
        <w:spacing w:line="240" w:lineRule="auto"/>
        <w:jc w:val="both"/>
        <w:rPr>
          <w:sz w:val="24"/>
          <w:szCs w:val="24"/>
          <w:lang w:val="en-US"/>
        </w:rPr>
      </w:pPr>
      <w:proofErr w:type="spellStart"/>
      <w:r w:rsidRPr="005F25CA">
        <w:rPr>
          <w:sz w:val="24"/>
          <w:szCs w:val="24"/>
          <w:lang w:val="en-US" w:eastAsia="en-US" w:bidi="en-US"/>
        </w:rPr>
        <w:t>Intracerebral</w:t>
      </w:r>
      <w:proofErr w:type="spellEnd"/>
      <w:r w:rsidRPr="005F25CA">
        <w:rPr>
          <w:sz w:val="24"/>
          <w:szCs w:val="24"/>
          <w:lang w:val="en-US" w:eastAsia="en-US" w:bidi="en-US"/>
        </w:rPr>
        <w:t xml:space="preserve"> hemorrhage.</w:t>
      </w:r>
    </w:p>
    <w:p w:rsidR="00512251" w:rsidRPr="005F25CA" w:rsidRDefault="003C4525" w:rsidP="00A93897">
      <w:pPr>
        <w:pStyle w:val="4"/>
        <w:numPr>
          <w:ilvl w:val="0"/>
          <w:numId w:val="13"/>
        </w:numPr>
        <w:shd w:val="clear" w:color="auto" w:fill="auto"/>
        <w:spacing w:line="240" w:lineRule="auto"/>
        <w:jc w:val="both"/>
        <w:rPr>
          <w:sz w:val="24"/>
          <w:szCs w:val="24"/>
          <w:lang w:val="en-US"/>
        </w:rPr>
      </w:pPr>
      <w:r w:rsidRPr="005F25CA">
        <w:rPr>
          <w:sz w:val="24"/>
          <w:szCs w:val="24"/>
          <w:lang w:val="en-US"/>
        </w:rPr>
        <w:t xml:space="preserve">In the absence of data, severe renal failure (creatinine clearance of 30 </w:t>
      </w:r>
      <w:r w:rsidR="00D027D1" w:rsidRPr="005F25CA">
        <w:rPr>
          <w:sz w:val="24"/>
          <w:szCs w:val="24"/>
          <w:lang w:val="en-US"/>
        </w:rPr>
        <w:t>mL</w:t>
      </w:r>
      <w:r w:rsidRPr="005F25CA">
        <w:rPr>
          <w:sz w:val="24"/>
          <w:szCs w:val="24"/>
          <w:lang w:val="en-US"/>
        </w:rPr>
        <w:t xml:space="preserve">/min according to calculation using the </w:t>
      </w:r>
      <w:proofErr w:type="spellStart"/>
      <w:r w:rsidRPr="005F25CA">
        <w:rPr>
          <w:sz w:val="24"/>
          <w:szCs w:val="24"/>
          <w:lang w:val="en-US"/>
        </w:rPr>
        <w:t>Cockroft</w:t>
      </w:r>
      <w:proofErr w:type="spellEnd"/>
      <w:r w:rsidRPr="005F25CA">
        <w:rPr>
          <w:sz w:val="24"/>
          <w:szCs w:val="24"/>
          <w:lang w:val="en-US"/>
        </w:rPr>
        <w:t xml:space="preserve"> formula), apart from the specific situation of dialysis.</w:t>
      </w:r>
      <w:r w:rsidR="00D36A8D" w:rsidRPr="005F25CA">
        <w:rPr>
          <w:sz w:val="24"/>
          <w:szCs w:val="24"/>
          <w:lang w:val="en-US"/>
        </w:rPr>
        <w:t xml:space="preserve"> </w:t>
      </w:r>
      <w:r w:rsidRPr="005F25CA">
        <w:rPr>
          <w:sz w:val="24"/>
          <w:szCs w:val="24"/>
          <w:lang w:val="en-US"/>
        </w:rPr>
        <w:t>In severe renal failure, use unfractionated heparin.</w:t>
      </w:r>
    </w:p>
    <w:p w:rsidR="00512251" w:rsidRPr="005F25CA" w:rsidRDefault="008D126E" w:rsidP="00A93897">
      <w:pPr>
        <w:pStyle w:val="4"/>
        <w:spacing w:line="240" w:lineRule="auto"/>
        <w:ind w:firstLine="0"/>
        <w:jc w:val="both"/>
        <w:rPr>
          <w:sz w:val="24"/>
          <w:szCs w:val="24"/>
          <w:lang w:val="en-US"/>
        </w:rPr>
      </w:pPr>
      <w:r w:rsidRPr="005F25CA">
        <w:rPr>
          <w:sz w:val="24"/>
          <w:szCs w:val="24"/>
          <w:lang w:val="en-US"/>
        </w:rPr>
        <w:t xml:space="preserve">For calculation of the </w:t>
      </w:r>
      <w:proofErr w:type="spellStart"/>
      <w:r w:rsidRPr="005F25CA">
        <w:rPr>
          <w:sz w:val="24"/>
          <w:szCs w:val="24"/>
          <w:lang w:val="en-US"/>
        </w:rPr>
        <w:t>Cockroft</w:t>
      </w:r>
      <w:proofErr w:type="spellEnd"/>
      <w:r w:rsidRPr="005F25CA">
        <w:rPr>
          <w:sz w:val="24"/>
          <w:szCs w:val="24"/>
          <w:lang w:val="en-US"/>
        </w:rPr>
        <w:t xml:space="preserve"> formula, it is necessary to have a recent weight of the patient (</w:t>
      </w:r>
      <w:r w:rsidR="00A93897" w:rsidRPr="005F25CA">
        <w:rPr>
          <w:sz w:val="24"/>
          <w:szCs w:val="24"/>
          <w:lang w:val="en-US"/>
        </w:rPr>
        <w:t>see Special warnings and precautions for use</w:t>
      </w:r>
      <w:r w:rsidRPr="005F25CA">
        <w:rPr>
          <w:sz w:val="24"/>
          <w:szCs w:val="24"/>
          <w:lang w:val="en-US"/>
        </w:rPr>
        <w:t>).</w:t>
      </w:r>
    </w:p>
    <w:p w:rsidR="00512251" w:rsidRPr="005F25CA" w:rsidRDefault="008D126E" w:rsidP="00A93897">
      <w:pPr>
        <w:pStyle w:val="4"/>
        <w:numPr>
          <w:ilvl w:val="0"/>
          <w:numId w:val="14"/>
        </w:numPr>
        <w:shd w:val="clear" w:color="auto" w:fill="auto"/>
        <w:spacing w:line="240" w:lineRule="auto"/>
        <w:jc w:val="both"/>
        <w:rPr>
          <w:sz w:val="24"/>
          <w:szCs w:val="24"/>
          <w:lang w:val="en-US"/>
        </w:rPr>
      </w:pPr>
      <w:r w:rsidRPr="005F25CA">
        <w:rPr>
          <w:sz w:val="24"/>
          <w:szCs w:val="24"/>
          <w:lang w:val="en-US" w:eastAsia="en-US" w:bidi="en-US"/>
        </w:rPr>
        <w:t xml:space="preserve">Spinal or epidural anesthesia must never be performed in patients </w:t>
      </w:r>
      <w:r w:rsidR="00A93897" w:rsidRPr="005F25CA">
        <w:rPr>
          <w:sz w:val="24"/>
          <w:szCs w:val="24"/>
          <w:lang w:val="en-US" w:eastAsia="en-US" w:bidi="en-US"/>
        </w:rPr>
        <w:t>treated with</w:t>
      </w:r>
      <w:r w:rsidRPr="005F25CA">
        <w:rPr>
          <w:sz w:val="24"/>
          <w:szCs w:val="24"/>
          <w:lang w:val="en-US" w:eastAsia="en-US" w:bidi="en-US"/>
        </w:rPr>
        <w:t xml:space="preserve"> LMWH.</w:t>
      </w:r>
    </w:p>
    <w:p w:rsidR="00512251" w:rsidRPr="005F25CA" w:rsidRDefault="008D126E" w:rsidP="00A93897">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This medicinal product is </w:t>
      </w:r>
      <w:r w:rsidRPr="005F25CA">
        <w:rPr>
          <w:rStyle w:val="a8"/>
          <w:rFonts w:eastAsia="Franklin Gothic Medium Cond"/>
          <w:b w:val="0"/>
          <w:sz w:val="24"/>
          <w:szCs w:val="24"/>
          <w:lang w:val="en-US"/>
        </w:rPr>
        <w:t>not advisable</w:t>
      </w:r>
      <w:r w:rsidRPr="005F25CA">
        <w:rPr>
          <w:rStyle w:val="a8"/>
          <w:rFonts w:eastAsia="Franklin Gothic Medium Cond"/>
          <w:sz w:val="24"/>
          <w:szCs w:val="24"/>
          <w:lang w:val="en-US"/>
        </w:rPr>
        <w:t xml:space="preserve"> </w:t>
      </w:r>
      <w:r w:rsidRPr="005F25CA">
        <w:rPr>
          <w:sz w:val="24"/>
          <w:szCs w:val="24"/>
          <w:lang w:val="en-US" w:eastAsia="en-US" w:bidi="en-US"/>
        </w:rPr>
        <w:t>in the following cases:</w:t>
      </w:r>
    </w:p>
    <w:p w:rsidR="00512251" w:rsidRPr="005F25CA" w:rsidRDefault="005B6178" w:rsidP="00A93897">
      <w:pPr>
        <w:pStyle w:val="4"/>
        <w:numPr>
          <w:ilvl w:val="0"/>
          <w:numId w:val="15"/>
        </w:numPr>
        <w:shd w:val="clear" w:color="auto" w:fill="auto"/>
        <w:spacing w:line="240" w:lineRule="auto"/>
        <w:jc w:val="both"/>
        <w:rPr>
          <w:sz w:val="24"/>
          <w:szCs w:val="24"/>
          <w:lang w:val="en-US"/>
        </w:rPr>
      </w:pPr>
      <w:r w:rsidRPr="005F25CA">
        <w:rPr>
          <w:sz w:val="24"/>
          <w:szCs w:val="24"/>
          <w:lang w:val="en-US" w:eastAsia="en-US" w:bidi="en-US"/>
        </w:rPr>
        <w:t>acute extensive ischemic stroke, with or without impaired consciousness.</w:t>
      </w:r>
      <w:r w:rsidR="00D36A8D" w:rsidRPr="005F25CA">
        <w:rPr>
          <w:sz w:val="24"/>
          <w:szCs w:val="24"/>
          <w:lang w:val="en-US"/>
        </w:rPr>
        <w:t xml:space="preserve"> </w:t>
      </w:r>
      <w:r w:rsidR="00EF3158" w:rsidRPr="005F25CA">
        <w:rPr>
          <w:sz w:val="24"/>
          <w:szCs w:val="24"/>
          <w:lang w:val="en-US" w:eastAsia="en-US" w:bidi="en-US"/>
        </w:rPr>
        <w:t>If the stroke is caused by embolism, enoxaparin must not be administered for 72 hours following the event. The efficacy of curative doses of LMWH has however not yet been established, regardless of the cause, extent or clinical severity of cerebral infarction.</w:t>
      </w:r>
    </w:p>
    <w:p w:rsidR="00512251" w:rsidRPr="005F25CA" w:rsidRDefault="00A93897" w:rsidP="00A93897">
      <w:pPr>
        <w:pStyle w:val="4"/>
        <w:numPr>
          <w:ilvl w:val="0"/>
          <w:numId w:val="15"/>
        </w:numPr>
        <w:shd w:val="clear" w:color="auto" w:fill="auto"/>
        <w:spacing w:line="240" w:lineRule="auto"/>
        <w:jc w:val="both"/>
        <w:rPr>
          <w:sz w:val="24"/>
          <w:szCs w:val="24"/>
          <w:lang w:val="en-US"/>
        </w:rPr>
      </w:pPr>
      <w:r w:rsidRPr="005F25CA">
        <w:rPr>
          <w:sz w:val="24"/>
          <w:szCs w:val="24"/>
          <w:lang w:val="en-US" w:eastAsia="en-US" w:bidi="en-US"/>
        </w:rPr>
        <w:t>a</w:t>
      </w:r>
      <w:r w:rsidR="00EF3158" w:rsidRPr="005F25CA">
        <w:rPr>
          <w:sz w:val="24"/>
          <w:szCs w:val="24"/>
          <w:lang w:val="en-US" w:eastAsia="en-US" w:bidi="en-US"/>
        </w:rPr>
        <w:t xml:space="preserve">cute infectious endocarditis (except for some </w:t>
      </w:r>
      <w:proofErr w:type="spellStart"/>
      <w:r w:rsidR="00EF3158" w:rsidRPr="005F25CA">
        <w:rPr>
          <w:sz w:val="24"/>
          <w:szCs w:val="24"/>
          <w:lang w:val="en-US" w:eastAsia="en-US" w:bidi="en-US"/>
        </w:rPr>
        <w:t>emboligenic</w:t>
      </w:r>
      <w:proofErr w:type="spellEnd"/>
      <w:r w:rsidR="00EF3158" w:rsidRPr="005F25CA">
        <w:rPr>
          <w:sz w:val="24"/>
          <w:szCs w:val="24"/>
          <w:lang w:val="en-US" w:eastAsia="en-US" w:bidi="en-US"/>
        </w:rPr>
        <w:t xml:space="preserve"> cardiac conditions);</w:t>
      </w:r>
    </w:p>
    <w:p w:rsidR="00512251" w:rsidRPr="005F25CA" w:rsidRDefault="00A93897" w:rsidP="00A93897">
      <w:pPr>
        <w:pStyle w:val="4"/>
        <w:numPr>
          <w:ilvl w:val="0"/>
          <w:numId w:val="15"/>
        </w:numPr>
        <w:shd w:val="clear" w:color="auto" w:fill="auto"/>
        <w:spacing w:line="240" w:lineRule="auto"/>
        <w:jc w:val="both"/>
        <w:rPr>
          <w:sz w:val="24"/>
          <w:szCs w:val="24"/>
          <w:lang w:val="en-US"/>
        </w:rPr>
      </w:pPr>
      <w:r w:rsidRPr="005F25CA">
        <w:rPr>
          <w:sz w:val="24"/>
          <w:szCs w:val="24"/>
          <w:lang w:val="en-US" w:eastAsia="en-US" w:bidi="en-US"/>
        </w:rPr>
        <w:t>m</w:t>
      </w:r>
      <w:r w:rsidR="00EF3158" w:rsidRPr="005F25CA">
        <w:rPr>
          <w:sz w:val="24"/>
          <w:szCs w:val="24"/>
          <w:lang w:val="en-US" w:eastAsia="en-US" w:bidi="en-US"/>
        </w:rPr>
        <w:t xml:space="preserve">ild to moderate renal failure (creatinine clearance between 30 and 60 </w:t>
      </w:r>
      <w:r w:rsidR="00D027D1" w:rsidRPr="005F25CA">
        <w:rPr>
          <w:sz w:val="24"/>
          <w:szCs w:val="24"/>
          <w:lang w:val="en-US" w:eastAsia="en-US" w:bidi="en-US"/>
        </w:rPr>
        <w:t>mL</w:t>
      </w:r>
      <w:r w:rsidR="00EF3158" w:rsidRPr="005F25CA">
        <w:rPr>
          <w:sz w:val="24"/>
          <w:szCs w:val="24"/>
          <w:lang w:val="en-US" w:eastAsia="en-US" w:bidi="en-US"/>
        </w:rPr>
        <w:t>/min).</w:t>
      </w:r>
    </w:p>
    <w:p w:rsidR="00512251" w:rsidRPr="005F25CA" w:rsidRDefault="00E43E93" w:rsidP="00A93897">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In addition, this drug is </w:t>
      </w:r>
      <w:r w:rsidRPr="005F25CA">
        <w:rPr>
          <w:rStyle w:val="a8"/>
          <w:rFonts w:eastAsia="Franklin Gothic Medium Cond"/>
          <w:b w:val="0"/>
          <w:i/>
          <w:sz w:val="24"/>
          <w:szCs w:val="24"/>
          <w:lang w:val="en-US"/>
        </w:rPr>
        <w:t xml:space="preserve">generally not advisable </w:t>
      </w:r>
      <w:r w:rsidRPr="005F25CA">
        <w:rPr>
          <w:sz w:val="24"/>
          <w:szCs w:val="24"/>
          <w:lang w:val="en-US" w:eastAsia="en-US" w:bidi="en-US"/>
        </w:rPr>
        <w:t>when combined with the following (sec. Interactions with other medicinal products and other forms of interaction):</w:t>
      </w:r>
    </w:p>
    <w:p w:rsidR="00512251" w:rsidRPr="005F25CA" w:rsidRDefault="00E43E93" w:rsidP="00A93897">
      <w:pPr>
        <w:pStyle w:val="4"/>
        <w:numPr>
          <w:ilvl w:val="0"/>
          <w:numId w:val="16"/>
        </w:numPr>
        <w:shd w:val="clear" w:color="auto" w:fill="auto"/>
        <w:spacing w:line="240" w:lineRule="auto"/>
        <w:jc w:val="both"/>
        <w:rPr>
          <w:sz w:val="24"/>
          <w:szCs w:val="24"/>
          <w:lang w:val="en-US"/>
        </w:rPr>
      </w:pPr>
      <w:r w:rsidRPr="005F25CA">
        <w:rPr>
          <w:sz w:val="24"/>
          <w:szCs w:val="24"/>
          <w:lang w:val="en-US"/>
        </w:rPr>
        <w:t xml:space="preserve">Acetylsalicylic acid at analgesic, antipyretic and </w:t>
      </w:r>
      <w:r w:rsidR="005F25CA" w:rsidRPr="005F25CA">
        <w:rPr>
          <w:sz w:val="24"/>
          <w:szCs w:val="24"/>
          <w:lang w:val="en-US"/>
        </w:rPr>
        <w:t>anti-inflammatory</w:t>
      </w:r>
      <w:r w:rsidRPr="005F25CA">
        <w:rPr>
          <w:sz w:val="24"/>
          <w:szCs w:val="24"/>
          <w:lang w:val="en-US"/>
        </w:rPr>
        <w:t xml:space="preserve"> doses.</w:t>
      </w:r>
    </w:p>
    <w:p w:rsidR="00512251" w:rsidRPr="005F25CA" w:rsidRDefault="00E43E93" w:rsidP="00A93897">
      <w:pPr>
        <w:pStyle w:val="4"/>
        <w:numPr>
          <w:ilvl w:val="0"/>
          <w:numId w:val="16"/>
        </w:numPr>
        <w:shd w:val="clear" w:color="auto" w:fill="auto"/>
        <w:spacing w:line="240" w:lineRule="auto"/>
        <w:jc w:val="both"/>
        <w:rPr>
          <w:sz w:val="24"/>
          <w:szCs w:val="24"/>
          <w:lang w:val="en-US"/>
        </w:rPr>
      </w:pPr>
      <w:r w:rsidRPr="005F25CA">
        <w:rPr>
          <w:rStyle w:val="a7"/>
          <w:i w:val="0"/>
          <w:iCs w:val="0"/>
          <w:sz w:val="24"/>
          <w:szCs w:val="24"/>
          <w:lang w:val="en-US"/>
        </w:rPr>
        <w:t xml:space="preserve">Non-steroidal anti-inflammatory drugs (NSAIDs) </w:t>
      </w:r>
      <w:r w:rsidRPr="005F25CA">
        <w:rPr>
          <w:rStyle w:val="a7"/>
          <w:iCs w:val="0"/>
          <w:sz w:val="24"/>
          <w:szCs w:val="24"/>
          <w:lang w:val="en-US"/>
        </w:rPr>
        <w:t>(systemic use).</w:t>
      </w:r>
    </w:p>
    <w:p w:rsidR="00512251" w:rsidRPr="005F25CA" w:rsidRDefault="00E43E93" w:rsidP="00A93897">
      <w:pPr>
        <w:pStyle w:val="41"/>
        <w:numPr>
          <w:ilvl w:val="0"/>
          <w:numId w:val="16"/>
        </w:numPr>
        <w:shd w:val="clear" w:color="auto" w:fill="auto"/>
        <w:spacing w:line="240" w:lineRule="auto"/>
        <w:jc w:val="both"/>
        <w:rPr>
          <w:sz w:val="24"/>
          <w:szCs w:val="24"/>
          <w:lang w:val="en-US"/>
        </w:rPr>
      </w:pPr>
      <w:r w:rsidRPr="005F25CA">
        <w:rPr>
          <w:i w:val="0"/>
          <w:iCs w:val="0"/>
          <w:sz w:val="24"/>
          <w:szCs w:val="24"/>
          <w:lang w:val="en-US"/>
        </w:rPr>
        <w:t xml:space="preserve">Dextran 40 </w:t>
      </w:r>
      <w:r w:rsidRPr="005F25CA">
        <w:rPr>
          <w:iCs w:val="0"/>
          <w:sz w:val="24"/>
          <w:szCs w:val="24"/>
          <w:lang w:val="en-US"/>
        </w:rPr>
        <w:t>(parenteral use).</w:t>
      </w:r>
    </w:p>
    <w:p w:rsidR="00ED1B99" w:rsidRPr="005F25CA" w:rsidRDefault="00ED1B99" w:rsidP="002701F5">
      <w:pPr>
        <w:pStyle w:val="30"/>
        <w:shd w:val="clear" w:color="auto" w:fill="auto"/>
        <w:spacing w:before="0" w:line="240" w:lineRule="auto"/>
        <w:jc w:val="both"/>
        <w:rPr>
          <w:sz w:val="24"/>
          <w:szCs w:val="24"/>
          <w:lang w:val="en-US"/>
        </w:rPr>
      </w:pPr>
    </w:p>
    <w:p w:rsidR="00512251" w:rsidRPr="005F25CA" w:rsidRDefault="00E43E93" w:rsidP="002701F5">
      <w:pPr>
        <w:pStyle w:val="30"/>
        <w:shd w:val="clear" w:color="auto" w:fill="auto"/>
        <w:spacing w:before="0" w:line="240" w:lineRule="auto"/>
        <w:jc w:val="both"/>
        <w:rPr>
          <w:sz w:val="24"/>
          <w:szCs w:val="24"/>
          <w:lang w:val="en-US"/>
        </w:rPr>
      </w:pPr>
      <w:r w:rsidRPr="005F25CA">
        <w:rPr>
          <w:sz w:val="24"/>
          <w:szCs w:val="24"/>
          <w:lang w:val="en-US"/>
        </w:rPr>
        <w:t>Interaction with other medicinal products and other forms of interaction.</w:t>
      </w:r>
    </w:p>
    <w:p w:rsidR="00512251" w:rsidRPr="005F25CA" w:rsidRDefault="003B230C" w:rsidP="002701F5">
      <w:pPr>
        <w:pStyle w:val="4"/>
        <w:shd w:val="clear" w:color="auto" w:fill="auto"/>
        <w:spacing w:line="240" w:lineRule="auto"/>
        <w:ind w:firstLine="0"/>
        <w:jc w:val="both"/>
        <w:rPr>
          <w:sz w:val="24"/>
          <w:szCs w:val="24"/>
          <w:lang w:val="en-US"/>
        </w:rPr>
      </w:pPr>
      <w:r w:rsidRPr="005F25CA">
        <w:rPr>
          <w:sz w:val="24"/>
          <w:szCs w:val="24"/>
          <w:lang w:val="en-US"/>
        </w:rPr>
        <w:t>Certain drugs or therapeutic classes may promote the occurrence of hyperkalemia:</w:t>
      </w:r>
      <w:r w:rsidR="00D36A8D" w:rsidRPr="005F25CA">
        <w:rPr>
          <w:sz w:val="24"/>
          <w:szCs w:val="24"/>
          <w:lang w:val="en-US"/>
        </w:rPr>
        <w:t xml:space="preserve"> </w:t>
      </w:r>
      <w:r w:rsidR="00ED1B99" w:rsidRPr="005F25CA">
        <w:rPr>
          <w:sz w:val="24"/>
          <w:szCs w:val="24"/>
          <w:lang w:val="en-US"/>
        </w:rPr>
        <w:t>p</w:t>
      </w:r>
      <w:r w:rsidRPr="005F25CA">
        <w:rPr>
          <w:sz w:val="24"/>
          <w:szCs w:val="24"/>
          <w:lang w:val="en-US"/>
        </w:rPr>
        <w:t xml:space="preserve">otassium </w:t>
      </w:r>
      <w:r w:rsidRPr="005F25CA">
        <w:rPr>
          <w:sz w:val="24"/>
          <w:szCs w:val="24"/>
          <w:lang w:val="en-US"/>
        </w:rPr>
        <w:lastRenderedPageBreak/>
        <w:t xml:space="preserve">salts, potassium-sparing diuretics, conversion enzyme inhibitors, angiotensin II inhibitors, non-steroidal anti-inflammatory drugs, heparins (low-molecular-weight or unfractionated heparin), </w:t>
      </w:r>
      <w:r w:rsidR="005F25CA" w:rsidRPr="005F25CA">
        <w:rPr>
          <w:sz w:val="24"/>
          <w:szCs w:val="24"/>
          <w:lang w:val="en-US"/>
        </w:rPr>
        <w:t>cyclosporine</w:t>
      </w:r>
      <w:r w:rsidRPr="005F25CA">
        <w:rPr>
          <w:sz w:val="24"/>
          <w:szCs w:val="24"/>
          <w:lang w:val="en-US"/>
        </w:rPr>
        <w:t xml:space="preserve"> and </w:t>
      </w:r>
      <w:proofErr w:type="spellStart"/>
      <w:r w:rsidRPr="005F25CA">
        <w:rPr>
          <w:sz w:val="24"/>
          <w:szCs w:val="24"/>
          <w:lang w:val="en-US"/>
        </w:rPr>
        <w:t>tacrolimus</w:t>
      </w:r>
      <w:proofErr w:type="spellEnd"/>
      <w:r w:rsidRPr="005F25CA">
        <w:rPr>
          <w:sz w:val="24"/>
          <w:szCs w:val="24"/>
          <w:lang w:val="en-US"/>
        </w:rPr>
        <w:t>, trimethoprim.</w:t>
      </w:r>
    </w:p>
    <w:p w:rsidR="00512251" w:rsidRPr="005F25CA" w:rsidRDefault="00A26348" w:rsidP="002701F5">
      <w:pPr>
        <w:pStyle w:val="4"/>
        <w:shd w:val="clear" w:color="auto" w:fill="auto"/>
        <w:spacing w:line="240" w:lineRule="auto"/>
        <w:ind w:firstLine="0"/>
        <w:jc w:val="both"/>
        <w:rPr>
          <w:sz w:val="24"/>
          <w:szCs w:val="24"/>
          <w:lang w:val="en-US"/>
        </w:rPr>
      </w:pPr>
      <w:r w:rsidRPr="005F25CA">
        <w:rPr>
          <w:sz w:val="24"/>
          <w:szCs w:val="24"/>
          <w:lang w:val="en-US"/>
        </w:rPr>
        <w:t>Occurrence of hyperkalemia may depend on possible related risk factors. </w:t>
      </w:r>
    </w:p>
    <w:p w:rsidR="0043445B" w:rsidRPr="005F25CA" w:rsidRDefault="00A26348" w:rsidP="0043445B">
      <w:pPr>
        <w:pStyle w:val="4"/>
        <w:shd w:val="clear" w:color="auto" w:fill="auto"/>
        <w:spacing w:line="240" w:lineRule="auto"/>
        <w:ind w:firstLine="0"/>
        <w:jc w:val="both"/>
        <w:rPr>
          <w:sz w:val="24"/>
          <w:szCs w:val="24"/>
          <w:lang w:val="en-US"/>
        </w:rPr>
      </w:pPr>
      <w:r w:rsidRPr="005F25CA">
        <w:rPr>
          <w:sz w:val="24"/>
          <w:szCs w:val="24"/>
          <w:lang w:val="en-US"/>
        </w:rPr>
        <w:t>This risk is potentiated when the previously mentioned drugs are co-administered.</w:t>
      </w:r>
      <w:r w:rsidR="00D36A8D" w:rsidRPr="005F25CA">
        <w:rPr>
          <w:sz w:val="24"/>
          <w:szCs w:val="24"/>
          <w:lang w:val="en-US"/>
        </w:rPr>
        <w:t xml:space="preserve"> </w:t>
      </w:r>
    </w:p>
    <w:p w:rsidR="00512251" w:rsidRPr="005F25CA" w:rsidRDefault="00051AF5" w:rsidP="0043445B">
      <w:pPr>
        <w:pStyle w:val="4"/>
        <w:shd w:val="clear" w:color="auto" w:fill="auto"/>
        <w:spacing w:line="240" w:lineRule="auto"/>
        <w:ind w:firstLine="0"/>
        <w:jc w:val="both"/>
        <w:rPr>
          <w:sz w:val="24"/>
          <w:szCs w:val="24"/>
          <w:lang w:val="en-US"/>
        </w:rPr>
      </w:pPr>
      <w:r w:rsidRPr="005F25CA">
        <w:rPr>
          <w:rStyle w:val="a9"/>
          <w:sz w:val="24"/>
          <w:szCs w:val="24"/>
          <w:lang w:val="en-US"/>
        </w:rPr>
        <w:t>E</w:t>
      </w:r>
      <w:r w:rsidR="00A26348" w:rsidRPr="005F25CA">
        <w:rPr>
          <w:rStyle w:val="a9"/>
          <w:sz w:val="24"/>
          <w:szCs w:val="24"/>
          <w:lang w:val="en-US"/>
        </w:rPr>
        <w:t>lderly</w:t>
      </w:r>
      <w:r w:rsidRPr="005F25CA">
        <w:rPr>
          <w:rStyle w:val="a9"/>
          <w:sz w:val="24"/>
          <w:szCs w:val="24"/>
          <w:lang w:val="en-US"/>
        </w:rPr>
        <w:t xml:space="preserve"> </w:t>
      </w:r>
      <w:r w:rsidR="00A26348" w:rsidRPr="005F25CA">
        <w:rPr>
          <w:rStyle w:val="a9"/>
          <w:sz w:val="24"/>
          <w:szCs w:val="24"/>
          <w:lang w:val="en-US"/>
        </w:rPr>
        <w:t>(65 years of age and older).</w:t>
      </w:r>
    </w:p>
    <w:p w:rsidR="00512251" w:rsidRPr="005F25CA" w:rsidRDefault="00051AF5" w:rsidP="002701F5">
      <w:pPr>
        <w:pStyle w:val="41"/>
        <w:shd w:val="clear" w:color="auto" w:fill="auto"/>
        <w:spacing w:line="240" w:lineRule="auto"/>
        <w:jc w:val="both"/>
        <w:rPr>
          <w:sz w:val="24"/>
          <w:szCs w:val="24"/>
          <w:lang w:val="en-US"/>
        </w:rPr>
      </w:pPr>
      <w:r w:rsidRPr="005F25CA">
        <w:rPr>
          <w:rStyle w:val="42"/>
          <w:i/>
          <w:iCs/>
          <w:sz w:val="24"/>
          <w:szCs w:val="24"/>
          <w:lang w:val="en-US"/>
        </w:rPr>
        <w:t>Adverse combinations.</w:t>
      </w:r>
    </w:p>
    <w:p w:rsidR="00512251" w:rsidRPr="005F25CA" w:rsidRDefault="0064649F" w:rsidP="002701F5">
      <w:pPr>
        <w:pStyle w:val="4"/>
        <w:shd w:val="clear" w:color="auto" w:fill="auto"/>
        <w:spacing w:line="240" w:lineRule="auto"/>
        <w:ind w:firstLine="0"/>
        <w:jc w:val="both"/>
        <w:rPr>
          <w:sz w:val="24"/>
          <w:szCs w:val="24"/>
          <w:lang w:val="en-US"/>
        </w:rPr>
      </w:pPr>
      <w:r w:rsidRPr="005F25CA">
        <w:rPr>
          <w:rStyle w:val="a7"/>
          <w:rFonts w:eastAsia="Franklin Gothic Medium Cond"/>
          <w:bCs/>
          <w:sz w:val="24"/>
          <w:szCs w:val="24"/>
          <w:lang w:val="en-US"/>
        </w:rPr>
        <w:t xml:space="preserve">Acetylsalicylic acid </w:t>
      </w:r>
      <w:r w:rsidRPr="005F25CA">
        <w:rPr>
          <w:rStyle w:val="a7"/>
          <w:rFonts w:eastAsia="Franklin Gothic Medium Cond"/>
          <w:bCs/>
          <w:i w:val="0"/>
          <w:sz w:val="24"/>
          <w:szCs w:val="24"/>
          <w:lang w:val="en-US"/>
        </w:rPr>
        <w:t>at analgesic, antipyretic and anti</w:t>
      </w:r>
      <w:r w:rsidRPr="005F25CA">
        <w:rPr>
          <w:rStyle w:val="a7"/>
          <w:rFonts w:eastAsia="Franklin Gothic Medium Cond"/>
          <w:bCs/>
          <w:i w:val="0"/>
          <w:sz w:val="24"/>
          <w:szCs w:val="24"/>
          <w:lang w:val="en-US"/>
        </w:rPr>
        <w:softHyphen/>
      </w:r>
      <w:r w:rsidR="006E4568" w:rsidRPr="005F25CA">
        <w:rPr>
          <w:rStyle w:val="a7"/>
          <w:rFonts w:eastAsia="Franklin Gothic Medium Cond"/>
          <w:bCs/>
          <w:i w:val="0"/>
          <w:sz w:val="24"/>
          <w:szCs w:val="24"/>
          <w:lang w:val="en-US"/>
        </w:rPr>
        <w:t>-</w:t>
      </w:r>
      <w:r w:rsidRPr="005F25CA">
        <w:rPr>
          <w:rStyle w:val="a7"/>
          <w:rFonts w:eastAsia="Franklin Gothic Medium Cond"/>
          <w:bCs/>
          <w:i w:val="0"/>
          <w:sz w:val="24"/>
          <w:szCs w:val="24"/>
          <w:lang w:val="en-US"/>
        </w:rPr>
        <w:t>inflammatory doses</w:t>
      </w:r>
      <w:r w:rsidRPr="005F25CA">
        <w:rPr>
          <w:rStyle w:val="a7"/>
          <w:rFonts w:eastAsia="Franklin Gothic Medium Cond"/>
          <w:bCs/>
          <w:sz w:val="24"/>
          <w:szCs w:val="24"/>
          <w:lang w:val="en-US"/>
        </w:rPr>
        <w:t xml:space="preserve"> </w:t>
      </w:r>
      <w:r w:rsidRPr="005F25CA">
        <w:rPr>
          <w:rStyle w:val="a7"/>
          <w:rFonts w:eastAsia="Franklin Gothic Medium Cond"/>
          <w:bCs/>
          <w:i w:val="0"/>
          <w:sz w:val="24"/>
          <w:szCs w:val="24"/>
          <w:lang w:val="en-US"/>
        </w:rPr>
        <w:t>(</w:t>
      </w:r>
      <w:r w:rsidR="006E4568" w:rsidRPr="005F25CA">
        <w:rPr>
          <w:sz w:val="24"/>
          <w:szCs w:val="24"/>
          <w:lang w:val="en-US" w:eastAsia="en-US" w:bidi="en-US"/>
        </w:rPr>
        <w:t>and, by extrapolation, other salicylates</w:t>
      </w:r>
      <w:r w:rsidRPr="005F25CA">
        <w:rPr>
          <w:rStyle w:val="a7"/>
          <w:rFonts w:eastAsia="Franklin Gothic Medium Cond"/>
          <w:bCs/>
          <w:i w:val="0"/>
          <w:sz w:val="24"/>
          <w:szCs w:val="24"/>
          <w:lang w:val="en-US"/>
        </w:rPr>
        <w:t xml:space="preserve">): </w:t>
      </w:r>
      <w:r w:rsidR="00A02D40" w:rsidRPr="005F25CA">
        <w:rPr>
          <w:sz w:val="24"/>
          <w:szCs w:val="24"/>
          <w:lang w:val="en-US" w:eastAsia="en-US" w:bidi="en-US"/>
        </w:rPr>
        <w:t>i</w:t>
      </w:r>
      <w:r w:rsidR="006E4568" w:rsidRPr="005F25CA">
        <w:rPr>
          <w:sz w:val="24"/>
          <w:szCs w:val="24"/>
          <w:lang w:val="en-US" w:eastAsia="en-US" w:bidi="en-US"/>
        </w:rPr>
        <w:t xml:space="preserve">ncreased risk of bleeding (salicylate-induced platelet function inhibition and </w:t>
      </w:r>
      <w:proofErr w:type="spellStart"/>
      <w:r w:rsidR="006E4568" w:rsidRPr="005F25CA">
        <w:rPr>
          <w:sz w:val="24"/>
          <w:szCs w:val="24"/>
          <w:lang w:val="en-US" w:eastAsia="en-US" w:bidi="en-US"/>
        </w:rPr>
        <w:t>gastroduodenal</w:t>
      </w:r>
      <w:proofErr w:type="spellEnd"/>
      <w:r w:rsidR="006E4568" w:rsidRPr="005F25CA">
        <w:rPr>
          <w:sz w:val="24"/>
          <w:szCs w:val="24"/>
          <w:lang w:val="en-US" w:eastAsia="en-US" w:bidi="en-US"/>
        </w:rPr>
        <w:t xml:space="preserve"> mucosal damage).</w:t>
      </w:r>
      <w:r w:rsidR="00D36A8D" w:rsidRPr="005F25CA">
        <w:rPr>
          <w:sz w:val="24"/>
          <w:szCs w:val="24"/>
          <w:lang w:val="en-US"/>
        </w:rPr>
        <w:t xml:space="preserve"> </w:t>
      </w:r>
      <w:r w:rsidR="00E949F3" w:rsidRPr="005F25CA">
        <w:rPr>
          <w:sz w:val="24"/>
          <w:szCs w:val="24"/>
          <w:lang w:val="en-US" w:eastAsia="en-US" w:bidi="en-US"/>
        </w:rPr>
        <w:t xml:space="preserve">Use a non-salicylate antipyretic analgesic (such as </w:t>
      </w:r>
      <w:proofErr w:type="spellStart"/>
      <w:r w:rsidR="00E949F3" w:rsidRPr="005F25CA">
        <w:rPr>
          <w:sz w:val="24"/>
          <w:szCs w:val="24"/>
          <w:lang w:val="en-US" w:eastAsia="en-US" w:bidi="en-US"/>
        </w:rPr>
        <w:t>paracetamol</w:t>
      </w:r>
      <w:proofErr w:type="spellEnd"/>
      <w:r w:rsidR="00E949F3" w:rsidRPr="005F25CA">
        <w:rPr>
          <w:sz w:val="24"/>
          <w:szCs w:val="24"/>
          <w:lang w:val="en-US" w:eastAsia="en-US" w:bidi="en-US"/>
        </w:rPr>
        <w:t>).</w:t>
      </w:r>
    </w:p>
    <w:p w:rsidR="00512251" w:rsidRPr="005F25CA" w:rsidRDefault="00E949F3" w:rsidP="002701F5">
      <w:pPr>
        <w:pStyle w:val="4"/>
        <w:shd w:val="clear" w:color="auto" w:fill="auto"/>
        <w:spacing w:line="240" w:lineRule="auto"/>
        <w:ind w:firstLine="0"/>
        <w:jc w:val="both"/>
        <w:rPr>
          <w:sz w:val="24"/>
          <w:szCs w:val="24"/>
          <w:lang w:val="en-US"/>
        </w:rPr>
      </w:pPr>
      <w:r w:rsidRPr="005F25CA">
        <w:rPr>
          <w:rStyle w:val="a7"/>
          <w:sz w:val="24"/>
          <w:szCs w:val="24"/>
          <w:lang w:val="en-US"/>
        </w:rPr>
        <w:t>Non-steroidal anti-inflammatory drugs, including ketorolac (systemic use):</w:t>
      </w:r>
      <w:r w:rsidR="00D36A8D" w:rsidRPr="005F25CA">
        <w:rPr>
          <w:rStyle w:val="a7"/>
          <w:sz w:val="24"/>
          <w:szCs w:val="24"/>
          <w:lang w:val="en-US"/>
        </w:rPr>
        <w:t xml:space="preserve"> </w:t>
      </w:r>
      <w:r w:rsidRPr="005F25CA">
        <w:rPr>
          <w:sz w:val="24"/>
          <w:szCs w:val="24"/>
          <w:lang w:val="en-US"/>
        </w:rPr>
        <w:t xml:space="preserve">increased risk of bleeding (NSAID-induced platelet function inhibition and </w:t>
      </w:r>
      <w:proofErr w:type="spellStart"/>
      <w:r w:rsidRPr="005F25CA">
        <w:rPr>
          <w:sz w:val="24"/>
          <w:szCs w:val="24"/>
          <w:lang w:val="en-US"/>
        </w:rPr>
        <w:t>gastroduodenal</w:t>
      </w:r>
      <w:proofErr w:type="spellEnd"/>
      <w:r w:rsidRPr="005F25CA">
        <w:rPr>
          <w:sz w:val="24"/>
          <w:szCs w:val="24"/>
          <w:lang w:val="en-US"/>
        </w:rPr>
        <w:t xml:space="preserve"> mucosal damage).</w:t>
      </w:r>
      <w:r w:rsidR="00D36A8D" w:rsidRPr="005F25CA">
        <w:rPr>
          <w:sz w:val="24"/>
          <w:szCs w:val="24"/>
          <w:lang w:val="en-US"/>
        </w:rPr>
        <w:t xml:space="preserve"> </w:t>
      </w:r>
      <w:r w:rsidRPr="005F25CA">
        <w:rPr>
          <w:sz w:val="24"/>
          <w:szCs w:val="24"/>
          <w:lang w:val="en-US" w:eastAsia="en-US" w:bidi="en-US"/>
        </w:rPr>
        <w:t>If co-administration cannot be avoided, close clinical monitoring is required.</w:t>
      </w:r>
    </w:p>
    <w:p w:rsidR="00512251" w:rsidRPr="005F25CA" w:rsidRDefault="00E949F3" w:rsidP="002701F5">
      <w:pPr>
        <w:pStyle w:val="4"/>
        <w:shd w:val="clear" w:color="auto" w:fill="auto"/>
        <w:spacing w:line="240" w:lineRule="auto"/>
        <w:ind w:firstLine="0"/>
        <w:jc w:val="both"/>
        <w:rPr>
          <w:sz w:val="24"/>
          <w:szCs w:val="24"/>
          <w:lang w:val="en-US"/>
        </w:rPr>
      </w:pPr>
      <w:r w:rsidRPr="005F25CA">
        <w:rPr>
          <w:rStyle w:val="aa"/>
          <w:b w:val="0"/>
          <w:bCs w:val="0"/>
          <w:iCs w:val="0"/>
          <w:sz w:val="24"/>
          <w:szCs w:val="24"/>
          <w:lang w:val="en-US"/>
        </w:rPr>
        <w:t>Dextran 40 (parenteral use):</w:t>
      </w:r>
      <w:r w:rsidR="00D36A8D" w:rsidRPr="005F25CA">
        <w:rPr>
          <w:sz w:val="24"/>
          <w:szCs w:val="24"/>
          <w:lang w:val="en-US"/>
        </w:rPr>
        <w:t xml:space="preserve"> </w:t>
      </w:r>
      <w:r w:rsidRPr="005F25CA">
        <w:rPr>
          <w:sz w:val="24"/>
          <w:szCs w:val="24"/>
          <w:lang w:val="en-US"/>
        </w:rPr>
        <w:t>increased risk of bleeding (platelet function inhibition by Dextran 40).</w:t>
      </w:r>
    </w:p>
    <w:p w:rsidR="00512251" w:rsidRPr="005F25CA" w:rsidRDefault="00E949F3" w:rsidP="002701F5">
      <w:pPr>
        <w:pStyle w:val="41"/>
        <w:shd w:val="clear" w:color="auto" w:fill="auto"/>
        <w:spacing w:line="240" w:lineRule="auto"/>
        <w:jc w:val="both"/>
        <w:rPr>
          <w:sz w:val="24"/>
          <w:szCs w:val="24"/>
          <w:u w:val="single"/>
          <w:lang w:val="en-US"/>
        </w:rPr>
      </w:pPr>
      <w:r w:rsidRPr="005F25CA">
        <w:rPr>
          <w:sz w:val="24"/>
          <w:szCs w:val="24"/>
          <w:u w:val="single"/>
          <w:lang w:val="en-US"/>
        </w:rPr>
        <w:t>Combinations requiring precautions</w:t>
      </w:r>
      <w:r w:rsidR="00891FFE" w:rsidRPr="005F25CA">
        <w:rPr>
          <w:sz w:val="24"/>
          <w:szCs w:val="24"/>
          <w:u w:val="single"/>
          <w:lang w:val="en-US"/>
        </w:rPr>
        <w:t>.</w:t>
      </w:r>
    </w:p>
    <w:p w:rsidR="00512251" w:rsidRPr="005F25CA" w:rsidRDefault="00E949F3" w:rsidP="002701F5">
      <w:pPr>
        <w:pStyle w:val="4"/>
        <w:shd w:val="clear" w:color="auto" w:fill="auto"/>
        <w:tabs>
          <w:tab w:val="left" w:pos="2010"/>
          <w:tab w:val="left" w:pos="4374"/>
          <w:tab w:val="right" w:pos="9929"/>
        </w:tabs>
        <w:spacing w:line="240" w:lineRule="auto"/>
        <w:ind w:firstLine="0"/>
        <w:jc w:val="both"/>
        <w:rPr>
          <w:sz w:val="24"/>
          <w:szCs w:val="24"/>
          <w:lang w:val="en-US"/>
        </w:rPr>
      </w:pPr>
      <w:r w:rsidRPr="005F25CA">
        <w:rPr>
          <w:i/>
          <w:sz w:val="24"/>
          <w:szCs w:val="24"/>
          <w:lang w:val="en-US"/>
        </w:rPr>
        <w:t xml:space="preserve">Oral anticoagulants: </w:t>
      </w:r>
      <w:r w:rsidR="00CA5D88" w:rsidRPr="005F25CA">
        <w:rPr>
          <w:sz w:val="24"/>
          <w:szCs w:val="24"/>
          <w:lang w:val="en-US"/>
        </w:rPr>
        <w:t>p</w:t>
      </w:r>
      <w:r w:rsidRPr="005F25CA">
        <w:rPr>
          <w:sz w:val="24"/>
          <w:szCs w:val="24"/>
          <w:lang w:val="en-US"/>
        </w:rPr>
        <w:t>otentiation of the anticoagulant effect.</w:t>
      </w:r>
      <w:r w:rsidR="00CA5D88" w:rsidRPr="005F25CA">
        <w:rPr>
          <w:sz w:val="24"/>
          <w:szCs w:val="24"/>
          <w:lang w:val="en-US"/>
        </w:rPr>
        <w:t xml:space="preserve"> </w:t>
      </w:r>
      <w:r w:rsidR="005B43B4" w:rsidRPr="005F25CA">
        <w:rPr>
          <w:sz w:val="24"/>
          <w:szCs w:val="24"/>
          <w:lang w:val="en-US"/>
        </w:rPr>
        <w:t>Clinical monitoring should be strengthened when switching from heparin to an oral anticoagulant.</w:t>
      </w:r>
    </w:p>
    <w:p w:rsidR="00512251" w:rsidRPr="005F25CA" w:rsidRDefault="005B43B4" w:rsidP="002701F5">
      <w:pPr>
        <w:pStyle w:val="41"/>
        <w:shd w:val="clear" w:color="auto" w:fill="auto"/>
        <w:spacing w:line="240" w:lineRule="auto"/>
        <w:jc w:val="both"/>
        <w:rPr>
          <w:i w:val="0"/>
          <w:sz w:val="24"/>
          <w:szCs w:val="24"/>
          <w:lang w:val="en-US"/>
        </w:rPr>
      </w:pPr>
      <w:r w:rsidRPr="005F25CA">
        <w:rPr>
          <w:rStyle w:val="42"/>
          <w:i/>
          <w:sz w:val="24"/>
          <w:szCs w:val="24"/>
          <w:lang w:val="en-US"/>
        </w:rPr>
        <w:t>Combinations to be considered.</w:t>
      </w:r>
    </w:p>
    <w:p w:rsidR="00512251" w:rsidRPr="005F25CA" w:rsidRDefault="005B43B4" w:rsidP="00DC5C87">
      <w:pPr>
        <w:pStyle w:val="4"/>
        <w:spacing w:line="240" w:lineRule="auto"/>
        <w:ind w:firstLine="0"/>
        <w:jc w:val="both"/>
        <w:rPr>
          <w:sz w:val="24"/>
          <w:szCs w:val="24"/>
          <w:lang w:val="en-US"/>
        </w:rPr>
      </w:pPr>
      <w:r w:rsidRPr="005F25CA">
        <w:rPr>
          <w:i/>
          <w:sz w:val="24"/>
          <w:szCs w:val="24"/>
          <w:lang w:val="en-US"/>
        </w:rPr>
        <w:t>Inhibitors of platelet aggregation (</w:t>
      </w:r>
      <w:r w:rsidRPr="005F25CA">
        <w:rPr>
          <w:sz w:val="24"/>
          <w:szCs w:val="24"/>
          <w:lang w:val="en-US"/>
        </w:rPr>
        <w:t xml:space="preserve">other than acetylsalicylic acid at analgesic, antipyretic and anti-inflammatory doses; NSAIDs): </w:t>
      </w:r>
      <w:r w:rsidR="00D36A8D" w:rsidRPr="005F25CA">
        <w:rPr>
          <w:sz w:val="24"/>
          <w:szCs w:val="24"/>
          <w:lang w:val="en-US"/>
        </w:rPr>
        <w:tab/>
      </w:r>
      <w:r w:rsidR="00AA3FC8" w:rsidRPr="005F25CA">
        <w:rPr>
          <w:sz w:val="24"/>
          <w:szCs w:val="24"/>
          <w:lang w:val="en-US"/>
        </w:rPr>
        <w:t xml:space="preserve"> </w:t>
      </w:r>
      <w:proofErr w:type="spellStart"/>
      <w:r w:rsidR="00AC4BFD" w:rsidRPr="005F25CA">
        <w:rPr>
          <w:i/>
          <w:sz w:val="24"/>
          <w:szCs w:val="24"/>
          <w:lang w:val="en-US"/>
        </w:rPr>
        <w:t>abciximab</w:t>
      </w:r>
      <w:proofErr w:type="spellEnd"/>
      <w:r w:rsidR="00AC4BFD" w:rsidRPr="005F25CA">
        <w:rPr>
          <w:i/>
          <w:sz w:val="24"/>
          <w:szCs w:val="24"/>
          <w:lang w:val="en-US"/>
        </w:rPr>
        <w:t xml:space="preserve">, acetylsalicylic acid at </w:t>
      </w:r>
      <w:proofErr w:type="spellStart"/>
      <w:r w:rsidR="00AC4BFD" w:rsidRPr="005F25CA">
        <w:rPr>
          <w:i/>
          <w:sz w:val="24"/>
          <w:szCs w:val="24"/>
          <w:lang w:val="en-US"/>
        </w:rPr>
        <w:t>antiaggregant</w:t>
      </w:r>
      <w:proofErr w:type="spellEnd"/>
      <w:r w:rsidR="00AC4BFD" w:rsidRPr="005F25CA">
        <w:rPr>
          <w:i/>
          <w:sz w:val="24"/>
          <w:szCs w:val="24"/>
          <w:lang w:val="en-US"/>
        </w:rPr>
        <w:t xml:space="preserve"> doses used in </w:t>
      </w:r>
      <w:proofErr w:type="spellStart"/>
      <w:r w:rsidR="00AC4BFD" w:rsidRPr="005F25CA">
        <w:rPr>
          <w:i/>
          <w:sz w:val="24"/>
          <w:szCs w:val="24"/>
          <w:lang w:val="en-US"/>
        </w:rPr>
        <w:t>cardiological</w:t>
      </w:r>
      <w:proofErr w:type="spellEnd"/>
      <w:r w:rsidR="00AC4BFD" w:rsidRPr="005F25CA">
        <w:rPr>
          <w:i/>
          <w:sz w:val="24"/>
          <w:szCs w:val="24"/>
          <w:lang w:val="en-US"/>
        </w:rPr>
        <w:t xml:space="preserve"> and neurological diseases, </w:t>
      </w:r>
      <w:proofErr w:type="spellStart"/>
      <w:r w:rsidR="00AC4BFD" w:rsidRPr="005F25CA">
        <w:rPr>
          <w:i/>
          <w:sz w:val="24"/>
          <w:szCs w:val="24"/>
          <w:lang w:val="en-US"/>
        </w:rPr>
        <w:t>beraprost</w:t>
      </w:r>
      <w:proofErr w:type="spellEnd"/>
      <w:r w:rsidR="00AC4BFD" w:rsidRPr="005F25CA">
        <w:rPr>
          <w:i/>
          <w:sz w:val="24"/>
          <w:szCs w:val="24"/>
          <w:lang w:val="en-US"/>
        </w:rPr>
        <w:t xml:space="preserve">, clopidogrel, </w:t>
      </w:r>
      <w:proofErr w:type="spellStart"/>
      <w:r w:rsidR="00AC4BFD" w:rsidRPr="005F25CA">
        <w:rPr>
          <w:i/>
          <w:sz w:val="24"/>
          <w:szCs w:val="24"/>
          <w:lang w:val="en-US"/>
        </w:rPr>
        <w:t>eptifibatide</w:t>
      </w:r>
      <w:proofErr w:type="spellEnd"/>
      <w:r w:rsidR="00AC4BFD" w:rsidRPr="005F25CA">
        <w:rPr>
          <w:i/>
          <w:sz w:val="24"/>
          <w:szCs w:val="24"/>
          <w:lang w:val="en-US"/>
        </w:rPr>
        <w:t xml:space="preserve">, </w:t>
      </w:r>
      <w:proofErr w:type="spellStart"/>
      <w:r w:rsidR="00AC4BFD" w:rsidRPr="005F25CA">
        <w:rPr>
          <w:i/>
          <w:sz w:val="24"/>
          <w:szCs w:val="24"/>
          <w:lang w:val="en-US"/>
        </w:rPr>
        <w:t>iloprost</w:t>
      </w:r>
      <w:proofErr w:type="spellEnd"/>
      <w:r w:rsidR="00AC4BFD" w:rsidRPr="005F25CA">
        <w:rPr>
          <w:i/>
          <w:sz w:val="24"/>
          <w:szCs w:val="24"/>
          <w:lang w:val="en-US"/>
        </w:rPr>
        <w:t xml:space="preserve">, </w:t>
      </w:r>
      <w:proofErr w:type="spellStart"/>
      <w:r w:rsidR="00AC4BFD" w:rsidRPr="005F25CA">
        <w:rPr>
          <w:i/>
          <w:sz w:val="24"/>
          <w:szCs w:val="24"/>
          <w:lang w:val="en-US"/>
        </w:rPr>
        <w:t>ticlopidine</w:t>
      </w:r>
      <w:proofErr w:type="spellEnd"/>
      <w:r w:rsidR="00AC4BFD" w:rsidRPr="005F25CA">
        <w:rPr>
          <w:i/>
          <w:sz w:val="24"/>
          <w:szCs w:val="24"/>
          <w:lang w:val="en-US"/>
        </w:rPr>
        <w:t xml:space="preserve">, </w:t>
      </w:r>
      <w:proofErr w:type="spellStart"/>
      <w:r w:rsidR="00AC4BFD" w:rsidRPr="005F25CA">
        <w:rPr>
          <w:i/>
          <w:sz w:val="24"/>
          <w:szCs w:val="24"/>
          <w:lang w:val="en-US"/>
        </w:rPr>
        <w:t>tirofiban</w:t>
      </w:r>
      <w:proofErr w:type="spellEnd"/>
      <w:r w:rsidR="00DC5C87" w:rsidRPr="005F25CA">
        <w:rPr>
          <w:i/>
          <w:sz w:val="24"/>
          <w:szCs w:val="24"/>
          <w:lang w:val="en-US"/>
        </w:rPr>
        <w:t xml:space="preserve">: </w:t>
      </w:r>
      <w:r w:rsidR="00AC4BFD" w:rsidRPr="005F25CA">
        <w:rPr>
          <w:sz w:val="24"/>
          <w:szCs w:val="24"/>
          <w:lang w:val="en-US"/>
        </w:rPr>
        <w:t>increased risk of bleeding.</w:t>
      </w:r>
    </w:p>
    <w:p w:rsidR="00512251" w:rsidRPr="005F25CA" w:rsidRDefault="00B96A1A" w:rsidP="002701F5">
      <w:pPr>
        <w:pStyle w:val="41"/>
        <w:shd w:val="clear" w:color="auto" w:fill="auto"/>
        <w:spacing w:line="240" w:lineRule="auto"/>
        <w:jc w:val="both"/>
        <w:rPr>
          <w:sz w:val="24"/>
          <w:szCs w:val="24"/>
          <w:lang w:val="en-US"/>
        </w:rPr>
      </w:pPr>
      <w:bookmarkStart w:id="0" w:name="bookmark24"/>
      <w:r w:rsidRPr="005F25CA">
        <w:rPr>
          <w:rStyle w:val="42"/>
          <w:i/>
          <w:sz w:val="24"/>
          <w:szCs w:val="24"/>
          <w:lang w:val="en-US"/>
        </w:rPr>
        <w:t>Patients under 65 years of age</w:t>
      </w:r>
      <w:bookmarkEnd w:id="0"/>
      <w:r w:rsidRPr="005F25CA">
        <w:rPr>
          <w:rStyle w:val="42"/>
          <w:i/>
          <w:sz w:val="24"/>
          <w:szCs w:val="24"/>
          <w:lang w:val="en-US"/>
        </w:rPr>
        <w:t>.</w:t>
      </w:r>
    </w:p>
    <w:p w:rsidR="00512251" w:rsidRPr="005F25CA" w:rsidRDefault="00B96A1A" w:rsidP="002701F5">
      <w:pPr>
        <w:pStyle w:val="41"/>
        <w:shd w:val="clear" w:color="auto" w:fill="auto"/>
        <w:spacing w:line="240" w:lineRule="auto"/>
        <w:jc w:val="both"/>
        <w:rPr>
          <w:sz w:val="24"/>
          <w:szCs w:val="24"/>
          <w:lang w:val="en-US"/>
        </w:rPr>
      </w:pPr>
      <w:r w:rsidRPr="005F25CA">
        <w:rPr>
          <w:rStyle w:val="42"/>
          <w:i/>
          <w:iCs/>
          <w:sz w:val="24"/>
          <w:szCs w:val="24"/>
          <w:lang w:val="en-US"/>
        </w:rPr>
        <w:t>Combinations to be considered.</w:t>
      </w:r>
    </w:p>
    <w:p w:rsidR="00512251" w:rsidRPr="005F25CA" w:rsidRDefault="00714C27" w:rsidP="007F280B">
      <w:pPr>
        <w:pStyle w:val="4"/>
        <w:ind w:firstLine="0"/>
        <w:jc w:val="both"/>
        <w:rPr>
          <w:sz w:val="24"/>
          <w:szCs w:val="24"/>
          <w:lang w:val="en-US"/>
        </w:rPr>
      </w:pPr>
      <w:r w:rsidRPr="005F25CA">
        <w:rPr>
          <w:sz w:val="24"/>
          <w:szCs w:val="24"/>
          <w:lang w:val="en-US" w:eastAsia="en-US" w:bidi="en-US"/>
        </w:rPr>
        <w:t>Combined use of drugs affecting various stages of hemostasis potentiates the risk of</w:t>
      </w:r>
      <w:r w:rsidR="007F280B" w:rsidRPr="005F25CA">
        <w:rPr>
          <w:sz w:val="24"/>
          <w:szCs w:val="24"/>
          <w:lang w:val="en-US" w:eastAsia="en-US" w:bidi="en-US"/>
        </w:rPr>
        <w:t xml:space="preserve"> </w:t>
      </w:r>
      <w:r w:rsidRPr="005F25CA">
        <w:rPr>
          <w:sz w:val="24"/>
          <w:szCs w:val="24"/>
          <w:lang w:val="en-US" w:eastAsia="en-US" w:bidi="en-US"/>
        </w:rPr>
        <w:t>bleeding</w:t>
      </w:r>
      <w:r w:rsidR="00F07210" w:rsidRPr="005F25CA">
        <w:rPr>
          <w:sz w:val="24"/>
          <w:szCs w:val="24"/>
          <w:lang w:val="en-US" w:eastAsia="en-US" w:bidi="en-US"/>
        </w:rPr>
        <w:t>.</w:t>
      </w:r>
      <w:r w:rsidR="00D36A8D" w:rsidRPr="005F25CA">
        <w:rPr>
          <w:sz w:val="24"/>
          <w:szCs w:val="24"/>
          <w:lang w:val="en-US"/>
        </w:rPr>
        <w:t xml:space="preserve"> </w:t>
      </w:r>
      <w:r w:rsidR="00714131" w:rsidRPr="005F25CA">
        <w:rPr>
          <w:sz w:val="24"/>
          <w:szCs w:val="24"/>
          <w:lang w:val="en-US" w:eastAsia="en-US" w:bidi="en-US"/>
        </w:rPr>
        <w:t xml:space="preserve">Therefore, regardless of the age of the patients, co-administration of LMWH at preventive doses with the following drugs must be taken into consideration by continued clinical monitoring and possible laboratory test: oral anticoagulants, platelet aggregation inhibitors </w:t>
      </w:r>
      <w:r w:rsidR="00714131" w:rsidRPr="005F25CA">
        <w:rPr>
          <w:i/>
          <w:sz w:val="24"/>
          <w:szCs w:val="24"/>
          <w:lang w:val="en-US" w:eastAsia="en-US" w:bidi="en-US"/>
        </w:rPr>
        <w:t>(</w:t>
      </w:r>
      <w:proofErr w:type="spellStart"/>
      <w:r w:rsidR="00714131" w:rsidRPr="005F25CA">
        <w:rPr>
          <w:i/>
          <w:sz w:val="24"/>
          <w:szCs w:val="24"/>
          <w:lang w:val="en-US" w:eastAsia="en-US" w:bidi="en-US"/>
        </w:rPr>
        <w:t>abciximab</w:t>
      </w:r>
      <w:proofErr w:type="spellEnd"/>
      <w:r w:rsidR="00714131" w:rsidRPr="005F25CA">
        <w:rPr>
          <w:i/>
          <w:sz w:val="24"/>
          <w:szCs w:val="24"/>
          <w:lang w:val="en-US" w:eastAsia="en-US" w:bidi="en-US"/>
        </w:rPr>
        <w:t xml:space="preserve">, NSAIDs, acetylsalicylic acid at any dose, clopidogrel, </w:t>
      </w:r>
      <w:r w:rsidR="0057668C" w:rsidRPr="005F25CA">
        <w:rPr>
          <w:i/>
          <w:sz w:val="24"/>
          <w:szCs w:val="24"/>
          <w:lang w:val="en-US" w:eastAsia="en-US" w:bidi="en-US"/>
        </w:rPr>
        <w:t xml:space="preserve">systemic glucocorticosteroids, </w:t>
      </w:r>
      <w:proofErr w:type="spellStart"/>
      <w:r w:rsidR="00714131" w:rsidRPr="005F25CA">
        <w:rPr>
          <w:i/>
          <w:sz w:val="24"/>
          <w:szCs w:val="24"/>
          <w:lang w:val="en-US" w:eastAsia="en-US" w:bidi="en-US"/>
        </w:rPr>
        <w:t>eptifibatide</w:t>
      </w:r>
      <w:proofErr w:type="spellEnd"/>
      <w:r w:rsidR="00714131" w:rsidRPr="005F25CA">
        <w:rPr>
          <w:i/>
          <w:sz w:val="24"/>
          <w:szCs w:val="24"/>
          <w:lang w:val="en-US" w:eastAsia="en-US" w:bidi="en-US"/>
        </w:rPr>
        <w:t xml:space="preserve">, </w:t>
      </w:r>
      <w:proofErr w:type="spellStart"/>
      <w:r w:rsidR="00714131" w:rsidRPr="005F25CA">
        <w:rPr>
          <w:i/>
          <w:sz w:val="24"/>
          <w:szCs w:val="24"/>
          <w:lang w:val="en-US" w:eastAsia="en-US" w:bidi="en-US"/>
        </w:rPr>
        <w:t>iloprost</w:t>
      </w:r>
      <w:proofErr w:type="spellEnd"/>
      <w:r w:rsidR="00714131" w:rsidRPr="005F25CA">
        <w:rPr>
          <w:i/>
          <w:sz w:val="24"/>
          <w:szCs w:val="24"/>
          <w:lang w:val="en-US" w:eastAsia="en-US" w:bidi="en-US"/>
        </w:rPr>
        <w:t xml:space="preserve">, </w:t>
      </w:r>
      <w:proofErr w:type="spellStart"/>
      <w:r w:rsidR="00714131" w:rsidRPr="005F25CA">
        <w:rPr>
          <w:i/>
          <w:sz w:val="24"/>
          <w:szCs w:val="24"/>
          <w:lang w:val="en-US" w:eastAsia="en-US" w:bidi="en-US"/>
        </w:rPr>
        <w:t>ticlopidine</w:t>
      </w:r>
      <w:proofErr w:type="spellEnd"/>
      <w:r w:rsidR="00714131" w:rsidRPr="005F25CA">
        <w:rPr>
          <w:i/>
          <w:sz w:val="24"/>
          <w:szCs w:val="24"/>
          <w:lang w:val="en-US" w:eastAsia="en-US" w:bidi="en-US"/>
        </w:rPr>
        <w:t xml:space="preserve">, </w:t>
      </w:r>
      <w:proofErr w:type="spellStart"/>
      <w:r w:rsidR="00714131" w:rsidRPr="005F25CA">
        <w:rPr>
          <w:i/>
          <w:sz w:val="24"/>
          <w:szCs w:val="24"/>
          <w:lang w:val="en-US" w:eastAsia="en-US" w:bidi="en-US"/>
        </w:rPr>
        <w:t>tirofiban</w:t>
      </w:r>
      <w:proofErr w:type="spellEnd"/>
      <w:r w:rsidR="00714131" w:rsidRPr="005F25CA">
        <w:rPr>
          <w:i/>
          <w:sz w:val="24"/>
          <w:szCs w:val="24"/>
          <w:lang w:val="en-US" w:eastAsia="en-US" w:bidi="en-US"/>
        </w:rPr>
        <w:t xml:space="preserve">) </w:t>
      </w:r>
      <w:r w:rsidR="00714131" w:rsidRPr="005F25CA">
        <w:rPr>
          <w:sz w:val="24"/>
          <w:szCs w:val="24"/>
          <w:lang w:val="en-US" w:eastAsia="en-US" w:bidi="en-US"/>
        </w:rPr>
        <w:t>and thrombolytic agents.</w:t>
      </w:r>
    </w:p>
    <w:p w:rsidR="00B30B8A" w:rsidRPr="005F25CA" w:rsidRDefault="00B30B8A" w:rsidP="002701F5">
      <w:pPr>
        <w:pStyle w:val="30"/>
        <w:shd w:val="clear" w:color="auto" w:fill="auto"/>
        <w:spacing w:before="0" w:line="240" w:lineRule="auto"/>
        <w:jc w:val="both"/>
        <w:rPr>
          <w:sz w:val="24"/>
          <w:szCs w:val="24"/>
          <w:lang w:val="en-US"/>
        </w:rPr>
      </w:pPr>
    </w:p>
    <w:p w:rsidR="00512251" w:rsidRPr="005F25CA" w:rsidRDefault="0057668C" w:rsidP="002701F5">
      <w:pPr>
        <w:pStyle w:val="30"/>
        <w:shd w:val="clear" w:color="auto" w:fill="auto"/>
        <w:spacing w:before="0" w:line="240" w:lineRule="auto"/>
        <w:jc w:val="both"/>
        <w:rPr>
          <w:sz w:val="24"/>
          <w:szCs w:val="24"/>
          <w:lang w:val="en-US"/>
        </w:rPr>
      </w:pPr>
      <w:r w:rsidRPr="005F25CA">
        <w:rPr>
          <w:sz w:val="24"/>
          <w:szCs w:val="24"/>
          <w:lang w:val="en-US"/>
        </w:rPr>
        <w:t>Special w</w:t>
      </w:r>
      <w:r w:rsidR="009D0CCA">
        <w:rPr>
          <w:sz w:val="24"/>
          <w:szCs w:val="24"/>
          <w:lang w:val="en-US"/>
        </w:rPr>
        <w:t>arnings and precautions for use</w:t>
      </w:r>
    </w:p>
    <w:p w:rsidR="00512251" w:rsidRPr="005F25CA" w:rsidRDefault="003B72AB" w:rsidP="002701F5">
      <w:pPr>
        <w:pStyle w:val="41"/>
        <w:shd w:val="clear" w:color="auto" w:fill="auto"/>
        <w:spacing w:line="240" w:lineRule="auto"/>
        <w:jc w:val="both"/>
        <w:rPr>
          <w:sz w:val="24"/>
          <w:szCs w:val="24"/>
          <w:lang w:val="en-US"/>
        </w:rPr>
      </w:pPr>
      <w:r w:rsidRPr="005F25CA">
        <w:rPr>
          <w:sz w:val="24"/>
          <w:szCs w:val="24"/>
          <w:lang w:val="en-US" w:eastAsia="en-US" w:bidi="en-US"/>
        </w:rPr>
        <w:t>Do not administer by the intramuscular route.</w:t>
      </w:r>
    </w:p>
    <w:p w:rsidR="00512251" w:rsidRPr="005F25CA" w:rsidRDefault="00B65577" w:rsidP="00B30B8A">
      <w:pPr>
        <w:pStyle w:val="4"/>
        <w:shd w:val="clear" w:color="auto" w:fill="auto"/>
        <w:spacing w:line="240" w:lineRule="auto"/>
        <w:ind w:firstLine="0"/>
        <w:jc w:val="both"/>
        <w:rPr>
          <w:sz w:val="24"/>
          <w:szCs w:val="24"/>
          <w:lang w:val="en-US"/>
        </w:rPr>
      </w:pPr>
      <w:r w:rsidRPr="005F25CA">
        <w:rPr>
          <w:sz w:val="24"/>
          <w:szCs w:val="24"/>
          <w:lang w:val="en-US" w:eastAsia="en-US" w:bidi="en-US"/>
        </w:rPr>
        <w:t>Low molecular weight heparins differ in molecular weight, specific anti-Xa activity, and dosage; therefore, they are not interchangeable.</w:t>
      </w:r>
      <w:r w:rsidR="00D36A8D" w:rsidRPr="005F25CA">
        <w:rPr>
          <w:sz w:val="24"/>
          <w:szCs w:val="24"/>
          <w:lang w:val="en-US"/>
        </w:rPr>
        <w:t xml:space="preserve"> </w:t>
      </w:r>
      <w:r w:rsidRPr="005F25CA">
        <w:rPr>
          <w:sz w:val="24"/>
          <w:szCs w:val="24"/>
          <w:lang w:val="en-US"/>
        </w:rPr>
        <w:t>Particular attention should therefore be paid and the instructions for use of each of the low molecular weight heparins should be observed.</w:t>
      </w:r>
    </w:p>
    <w:p w:rsidR="00B30B8A" w:rsidRPr="005F25CA" w:rsidRDefault="00B30B8A" w:rsidP="00B30B8A">
      <w:pPr>
        <w:pStyle w:val="41"/>
        <w:spacing w:line="240" w:lineRule="auto"/>
        <w:jc w:val="both"/>
        <w:rPr>
          <w:sz w:val="24"/>
          <w:szCs w:val="24"/>
          <w:lang w:val="en-US" w:eastAsia="en-US" w:bidi="en-US"/>
        </w:rPr>
      </w:pPr>
      <w:bookmarkStart w:id="1" w:name="bookmark16"/>
    </w:p>
    <w:p w:rsidR="00512251" w:rsidRPr="005F25CA" w:rsidRDefault="00B65577" w:rsidP="00B30B8A">
      <w:pPr>
        <w:pStyle w:val="41"/>
        <w:spacing w:line="240" w:lineRule="auto"/>
        <w:jc w:val="both"/>
        <w:rPr>
          <w:sz w:val="24"/>
          <w:szCs w:val="24"/>
          <w:lang w:val="en-US"/>
        </w:rPr>
      </w:pPr>
      <w:r w:rsidRPr="005F25CA">
        <w:rPr>
          <w:sz w:val="24"/>
          <w:szCs w:val="24"/>
          <w:lang w:val="en-US" w:eastAsia="en-US" w:bidi="en-US"/>
        </w:rPr>
        <w:t>Precautions for use</w:t>
      </w:r>
      <w:bookmarkEnd w:id="1"/>
      <w:r w:rsidRPr="005F25CA">
        <w:rPr>
          <w:sz w:val="24"/>
          <w:szCs w:val="24"/>
          <w:lang w:val="en-US"/>
        </w:rPr>
        <w:t>.</w:t>
      </w:r>
    </w:p>
    <w:p w:rsidR="00512251" w:rsidRPr="005F25CA" w:rsidRDefault="00B65577" w:rsidP="00B30B8A">
      <w:pPr>
        <w:pStyle w:val="41"/>
        <w:shd w:val="clear" w:color="auto" w:fill="auto"/>
        <w:spacing w:line="240" w:lineRule="auto"/>
        <w:jc w:val="both"/>
        <w:rPr>
          <w:sz w:val="24"/>
          <w:szCs w:val="24"/>
          <w:lang w:val="en-US"/>
        </w:rPr>
      </w:pPr>
      <w:r w:rsidRPr="005F25CA">
        <w:rPr>
          <w:rStyle w:val="42"/>
          <w:i/>
          <w:iCs/>
          <w:sz w:val="24"/>
          <w:szCs w:val="24"/>
          <w:lang w:val="en-US"/>
        </w:rPr>
        <w:t>Bleeding.</w:t>
      </w:r>
    </w:p>
    <w:p w:rsidR="00F67771" w:rsidRPr="005F25CA" w:rsidRDefault="005F25CA" w:rsidP="00B30B8A">
      <w:pPr>
        <w:pStyle w:val="4"/>
        <w:spacing w:line="240" w:lineRule="auto"/>
        <w:ind w:firstLine="0"/>
        <w:jc w:val="both"/>
        <w:rPr>
          <w:sz w:val="24"/>
          <w:szCs w:val="24"/>
          <w:lang w:val="en-US"/>
        </w:rPr>
      </w:pPr>
      <w:r w:rsidRPr="005F25CA">
        <w:rPr>
          <w:sz w:val="24"/>
          <w:szCs w:val="24"/>
          <w:lang w:val="en-US" w:eastAsia="en-US" w:bidi="en-US"/>
        </w:rPr>
        <w:t>As with all anticoagulants, bleeding can occur (see</w:t>
      </w:r>
      <w:r>
        <w:rPr>
          <w:sz w:val="24"/>
          <w:szCs w:val="24"/>
          <w:lang w:val="en-US" w:eastAsia="en-US" w:bidi="en-US"/>
        </w:rPr>
        <w:t xml:space="preserve"> </w:t>
      </w:r>
      <w:r w:rsidRPr="005F25CA">
        <w:rPr>
          <w:sz w:val="24"/>
          <w:szCs w:val="24"/>
          <w:lang w:val="en-US" w:eastAsia="en-US" w:bidi="en-US"/>
        </w:rPr>
        <w:t>Undesirable effects).</w:t>
      </w:r>
      <w:r w:rsidRPr="005F25CA">
        <w:rPr>
          <w:sz w:val="24"/>
          <w:szCs w:val="24"/>
          <w:lang w:val="en-US"/>
        </w:rPr>
        <w:t xml:space="preserve"> </w:t>
      </w:r>
      <w:r w:rsidR="00B65577" w:rsidRPr="005F25CA">
        <w:rPr>
          <w:sz w:val="24"/>
          <w:szCs w:val="24"/>
          <w:lang w:val="en-US" w:eastAsia="en-US" w:bidi="en-US"/>
        </w:rPr>
        <w:t>If bleeding occurs, the origin of the hemorrhage must be investigated and appropriate treatment instituted.</w:t>
      </w:r>
      <w:r w:rsidR="00D36A8D" w:rsidRPr="005F25CA">
        <w:rPr>
          <w:sz w:val="24"/>
          <w:szCs w:val="24"/>
          <w:lang w:val="en-US"/>
        </w:rPr>
        <w:t xml:space="preserve"> </w:t>
      </w:r>
    </w:p>
    <w:p w:rsidR="00512251" w:rsidRPr="005F25CA" w:rsidRDefault="00B65577" w:rsidP="00B30B8A">
      <w:pPr>
        <w:pStyle w:val="4"/>
        <w:spacing w:line="240" w:lineRule="auto"/>
        <w:ind w:firstLine="0"/>
        <w:jc w:val="both"/>
        <w:rPr>
          <w:sz w:val="24"/>
          <w:szCs w:val="24"/>
          <w:lang w:val="en-US"/>
        </w:rPr>
      </w:pPr>
      <w:r w:rsidRPr="005F25CA">
        <w:rPr>
          <w:rStyle w:val="a9"/>
          <w:sz w:val="24"/>
          <w:szCs w:val="24"/>
          <w:lang w:val="en-US"/>
        </w:rPr>
        <w:t>Renal function.</w:t>
      </w:r>
    </w:p>
    <w:p w:rsidR="00512251" w:rsidRPr="005F25CA" w:rsidRDefault="00B65577" w:rsidP="00B30B8A">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Before low-molecular-weight heparin treatment is initiated, it is essential to evaluate renal function, particularly in </w:t>
      </w:r>
      <w:r w:rsidR="005D5708" w:rsidRPr="005F25CA">
        <w:rPr>
          <w:sz w:val="24"/>
          <w:szCs w:val="24"/>
          <w:lang w:val="en-US" w:eastAsia="en-US" w:bidi="en-US"/>
        </w:rPr>
        <w:t>patien</w:t>
      </w:r>
      <w:r w:rsidRPr="005F25CA">
        <w:rPr>
          <w:sz w:val="24"/>
          <w:szCs w:val="24"/>
          <w:lang w:val="en-US" w:eastAsia="en-US" w:bidi="en-US"/>
        </w:rPr>
        <w:t>ts 75 years or older, by determining creatinine clearance using the Cockcroft formula and based on a recent bodyweight measuremen</w:t>
      </w:r>
      <w:r w:rsidR="005D5708" w:rsidRPr="005F25CA">
        <w:rPr>
          <w:sz w:val="24"/>
          <w:szCs w:val="24"/>
          <w:lang w:val="en-US" w:eastAsia="en-US" w:bidi="en-US"/>
        </w:rPr>
        <w:t>t.</w:t>
      </w:r>
    </w:p>
    <w:p w:rsidR="00512251" w:rsidRPr="005F25CA" w:rsidRDefault="00E54FED" w:rsidP="00B30B8A">
      <w:pPr>
        <w:pStyle w:val="4"/>
        <w:shd w:val="clear" w:color="auto" w:fill="auto"/>
        <w:spacing w:line="240" w:lineRule="auto"/>
        <w:ind w:firstLine="0"/>
        <w:jc w:val="both"/>
        <w:rPr>
          <w:sz w:val="24"/>
          <w:szCs w:val="24"/>
          <w:lang w:val="en-US"/>
        </w:rPr>
      </w:pPr>
      <w:r w:rsidRPr="005F25CA">
        <w:rPr>
          <w:sz w:val="24"/>
          <w:szCs w:val="24"/>
          <w:lang w:val="en-US" w:eastAsia="en-US" w:bidi="en-US"/>
        </w:rPr>
        <w:t>In male patients:</w:t>
      </w:r>
      <w:r w:rsidR="00D36A8D" w:rsidRPr="005F25CA">
        <w:rPr>
          <w:sz w:val="24"/>
          <w:szCs w:val="24"/>
          <w:lang w:val="en-US"/>
        </w:rPr>
        <w:t xml:space="preserve"> </w:t>
      </w:r>
      <w:r w:rsidRPr="005F25CA">
        <w:rPr>
          <w:sz w:val="24"/>
          <w:szCs w:val="24"/>
          <w:lang w:val="en-US" w:eastAsia="en-US" w:bidi="en-US"/>
        </w:rPr>
        <w:t>creatinine clearance = (140</w:t>
      </w:r>
      <w:r w:rsidR="00E95970" w:rsidRPr="005F25CA">
        <w:rPr>
          <w:sz w:val="24"/>
          <w:szCs w:val="24"/>
          <w:lang w:val="en-US" w:eastAsia="en-US" w:bidi="en-US"/>
        </w:rPr>
        <w:t xml:space="preserve"> </w:t>
      </w:r>
      <w:r w:rsidRPr="005F25CA">
        <w:rPr>
          <w:sz w:val="24"/>
          <w:szCs w:val="24"/>
          <w:lang w:val="en-US" w:eastAsia="en-US" w:bidi="en-US"/>
        </w:rPr>
        <w:t>-</w:t>
      </w:r>
      <w:r w:rsidR="00E95970" w:rsidRPr="005F25CA">
        <w:rPr>
          <w:sz w:val="24"/>
          <w:szCs w:val="24"/>
          <w:lang w:val="en-US" w:eastAsia="en-US" w:bidi="en-US"/>
        </w:rPr>
        <w:t xml:space="preserve"> </w:t>
      </w:r>
      <w:r w:rsidRPr="005F25CA">
        <w:rPr>
          <w:sz w:val="24"/>
          <w:szCs w:val="24"/>
          <w:lang w:val="en-US" w:eastAsia="en-US" w:bidi="en-US"/>
        </w:rPr>
        <w:t xml:space="preserve">age) x weight </w:t>
      </w:r>
      <w:r w:rsidRPr="005F25CA">
        <w:rPr>
          <w:sz w:val="24"/>
          <w:szCs w:val="24"/>
          <w:lang w:val="en-US" w:eastAsia="ru-RU" w:bidi="ru-RU"/>
        </w:rPr>
        <w:t xml:space="preserve">/ </w:t>
      </w:r>
      <w:r w:rsidRPr="005F25CA">
        <w:rPr>
          <w:sz w:val="24"/>
          <w:szCs w:val="24"/>
          <w:lang w:val="en-US" w:eastAsia="en-US" w:bidi="en-US"/>
        </w:rPr>
        <w:t>(0.814 x serum creatinine) where age is expressed in years, weight in kg and serum creatinine in µ</w:t>
      </w:r>
      <w:proofErr w:type="spellStart"/>
      <w:r w:rsidRPr="005F25CA">
        <w:rPr>
          <w:sz w:val="24"/>
          <w:szCs w:val="24"/>
          <w:lang w:val="en-US" w:eastAsia="en-US" w:bidi="en-US"/>
        </w:rPr>
        <w:t>mol</w:t>
      </w:r>
      <w:proofErr w:type="spellEnd"/>
      <w:r w:rsidRPr="005F25CA">
        <w:rPr>
          <w:sz w:val="24"/>
          <w:szCs w:val="24"/>
          <w:lang w:val="en-US" w:eastAsia="en-US" w:bidi="en-US"/>
        </w:rPr>
        <w:t>/l.</w:t>
      </w:r>
    </w:p>
    <w:p w:rsidR="00512251" w:rsidRPr="005F25CA" w:rsidRDefault="000B0E33" w:rsidP="00B30B8A">
      <w:pPr>
        <w:pStyle w:val="4"/>
        <w:shd w:val="clear" w:color="auto" w:fill="auto"/>
        <w:spacing w:line="240" w:lineRule="auto"/>
        <w:ind w:firstLine="0"/>
        <w:jc w:val="both"/>
        <w:rPr>
          <w:sz w:val="24"/>
          <w:szCs w:val="24"/>
          <w:lang w:val="en-US"/>
        </w:rPr>
      </w:pPr>
      <w:r w:rsidRPr="005F25CA">
        <w:rPr>
          <w:sz w:val="24"/>
          <w:szCs w:val="24"/>
          <w:lang w:val="en-US" w:eastAsia="en-US" w:bidi="en-US"/>
        </w:rPr>
        <w:t>This formula must be adjusted for female patients by multiplying the result by 0.85.</w:t>
      </w:r>
    </w:p>
    <w:p w:rsidR="00512251" w:rsidRPr="005F25CA" w:rsidRDefault="000B0E33" w:rsidP="00B30B8A">
      <w:pPr>
        <w:pStyle w:val="4"/>
        <w:shd w:val="clear" w:color="auto" w:fill="auto"/>
        <w:spacing w:line="240" w:lineRule="auto"/>
        <w:ind w:firstLine="0"/>
        <w:jc w:val="both"/>
        <w:rPr>
          <w:sz w:val="24"/>
          <w:szCs w:val="24"/>
          <w:lang w:val="en-US"/>
        </w:rPr>
      </w:pPr>
      <w:r w:rsidRPr="005F25CA">
        <w:rPr>
          <w:sz w:val="24"/>
          <w:szCs w:val="24"/>
          <w:lang w:val="en-US" w:eastAsia="en-US" w:bidi="en-US"/>
        </w:rPr>
        <w:t>When serum creatinine is expressed in mg/</w:t>
      </w:r>
      <w:r w:rsidR="00D027D1" w:rsidRPr="005F25CA">
        <w:rPr>
          <w:sz w:val="24"/>
          <w:szCs w:val="24"/>
          <w:lang w:val="en-US" w:eastAsia="en-US" w:bidi="en-US"/>
        </w:rPr>
        <w:t>mL</w:t>
      </w:r>
      <w:r w:rsidRPr="005F25CA">
        <w:rPr>
          <w:sz w:val="24"/>
          <w:szCs w:val="24"/>
          <w:lang w:val="en-US" w:eastAsia="en-US" w:bidi="en-US"/>
        </w:rPr>
        <w:t>, the value should be multiplied by a factor of 8.8.</w:t>
      </w:r>
    </w:p>
    <w:p w:rsidR="00512251" w:rsidRPr="005F25CA" w:rsidRDefault="005D76E6"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In patients diagnosed with severe renal failure (creatinine clearance of about 30 </w:t>
      </w:r>
      <w:r w:rsidR="00D027D1" w:rsidRPr="005F25CA">
        <w:rPr>
          <w:sz w:val="24"/>
          <w:szCs w:val="24"/>
          <w:lang w:val="en-US" w:eastAsia="en-US" w:bidi="en-US"/>
        </w:rPr>
        <w:t>mL</w:t>
      </w:r>
      <w:r w:rsidRPr="005F25CA">
        <w:rPr>
          <w:sz w:val="24"/>
          <w:szCs w:val="24"/>
          <w:lang w:val="en-US" w:eastAsia="en-US" w:bidi="en-US"/>
        </w:rPr>
        <w:t xml:space="preserve">/min) the use </w:t>
      </w:r>
      <w:r w:rsidRPr="005F25CA">
        <w:rPr>
          <w:sz w:val="24"/>
          <w:szCs w:val="24"/>
          <w:lang w:val="en-US" w:eastAsia="en-US" w:bidi="en-US"/>
        </w:rPr>
        <w:lastRenderedPageBreak/>
        <w:t>of LMWH as curative treatment is contraindicated (see</w:t>
      </w:r>
      <w:r w:rsidR="00E95970" w:rsidRPr="005F25CA">
        <w:rPr>
          <w:sz w:val="24"/>
          <w:szCs w:val="24"/>
          <w:lang w:val="en-US" w:eastAsia="en-US" w:bidi="en-US"/>
        </w:rPr>
        <w:t xml:space="preserve"> </w:t>
      </w:r>
      <w:r w:rsidRPr="005F25CA">
        <w:rPr>
          <w:sz w:val="24"/>
          <w:szCs w:val="24"/>
          <w:lang w:val="en-US" w:eastAsia="en-US" w:bidi="en-US"/>
        </w:rPr>
        <w:t>Contraindications).</w:t>
      </w:r>
    </w:p>
    <w:p w:rsidR="00512251" w:rsidRPr="005F25CA" w:rsidRDefault="005D76E6" w:rsidP="002701F5">
      <w:pPr>
        <w:pStyle w:val="41"/>
        <w:shd w:val="clear" w:color="auto" w:fill="auto"/>
        <w:spacing w:line="240" w:lineRule="auto"/>
        <w:rPr>
          <w:sz w:val="24"/>
          <w:szCs w:val="24"/>
          <w:lang w:val="en-US"/>
        </w:rPr>
      </w:pPr>
      <w:r w:rsidRPr="005F25CA">
        <w:rPr>
          <w:rStyle w:val="42"/>
          <w:i/>
          <w:iCs/>
          <w:sz w:val="24"/>
          <w:szCs w:val="24"/>
          <w:lang w:val="en-US"/>
        </w:rPr>
        <w:t>Inhibition of aldosterone secretion.</w:t>
      </w:r>
    </w:p>
    <w:p w:rsidR="00512251" w:rsidRPr="005F25CA" w:rsidRDefault="005D76E6" w:rsidP="002701F5">
      <w:pPr>
        <w:pStyle w:val="4"/>
        <w:shd w:val="clear" w:color="auto" w:fill="auto"/>
        <w:spacing w:line="240" w:lineRule="auto"/>
        <w:ind w:firstLine="0"/>
        <w:jc w:val="both"/>
        <w:rPr>
          <w:sz w:val="24"/>
          <w:szCs w:val="24"/>
          <w:lang w:val="en-US"/>
        </w:rPr>
      </w:pPr>
      <w:r w:rsidRPr="005F25CA">
        <w:rPr>
          <w:sz w:val="24"/>
          <w:szCs w:val="24"/>
          <w:lang w:val="en-US"/>
        </w:rPr>
        <w:t xml:space="preserve">Heparin can suppress adrenal secretion of aldosterone leading to </w:t>
      </w:r>
      <w:r w:rsidR="005F25CA" w:rsidRPr="005F25CA">
        <w:rPr>
          <w:sz w:val="24"/>
          <w:szCs w:val="24"/>
          <w:lang w:val="en-US"/>
        </w:rPr>
        <w:t>hyperkalemia</w:t>
      </w:r>
      <w:r w:rsidRPr="005F25CA">
        <w:rPr>
          <w:sz w:val="24"/>
          <w:szCs w:val="24"/>
          <w:lang w:val="en-US"/>
        </w:rPr>
        <w:t>, particularly in patients with diabetes mellitus, chronic renal failure, pre-existing metabolic acidosis, raised plasma potassium, and those taking potassium drugs.</w:t>
      </w:r>
      <w:r w:rsidR="00D36A8D" w:rsidRPr="005F25CA">
        <w:rPr>
          <w:sz w:val="24"/>
          <w:szCs w:val="24"/>
          <w:lang w:val="en-US"/>
        </w:rPr>
        <w:t xml:space="preserve"> </w:t>
      </w:r>
      <w:r w:rsidRPr="005F25CA">
        <w:rPr>
          <w:sz w:val="24"/>
          <w:szCs w:val="24"/>
          <w:lang w:val="en-US"/>
        </w:rPr>
        <w:t xml:space="preserve">The risk of </w:t>
      </w:r>
      <w:r w:rsidR="005F25CA" w:rsidRPr="005F25CA">
        <w:rPr>
          <w:sz w:val="24"/>
          <w:szCs w:val="24"/>
          <w:lang w:val="en-US"/>
        </w:rPr>
        <w:t>hyperkalemia</w:t>
      </w:r>
      <w:r w:rsidRPr="005F25CA">
        <w:rPr>
          <w:sz w:val="24"/>
          <w:szCs w:val="24"/>
          <w:lang w:val="en-US"/>
        </w:rPr>
        <w:t xml:space="preserve"> appears to increase with duration of therapy but is usually reversible.</w:t>
      </w:r>
      <w:r w:rsidR="00D36A8D" w:rsidRPr="005F25CA">
        <w:rPr>
          <w:sz w:val="24"/>
          <w:szCs w:val="24"/>
          <w:lang w:val="en-US"/>
        </w:rPr>
        <w:t xml:space="preserve"> </w:t>
      </w:r>
      <w:r w:rsidR="00391B88" w:rsidRPr="005F25CA">
        <w:rPr>
          <w:sz w:val="24"/>
          <w:szCs w:val="24"/>
          <w:lang w:val="en-US"/>
        </w:rPr>
        <w:t>The plasma potassium concentration should be measured in patients at risk of hyperkalemia before starting heparin and monitored regularly thereafter, particularly if treatment is to be continued for longer than 7 days.</w:t>
      </w:r>
    </w:p>
    <w:p w:rsidR="00512251" w:rsidRPr="005F25CA" w:rsidRDefault="00391B88" w:rsidP="002701F5">
      <w:pPr>
        <w:pStyle w:val="41"/>
        <w:shd w:val="clear" w:color="auto" w:fill="auto"/>
        <w:spacing w:line="240" w:lineRule="auto"/>
        <w:rPr>
          <w:sz w:val="24"/>
          <w:szCs w:val="24"/>
          <w:lang w:val="en-US"/>
        </w:rPr>
      </w:pPr>
      <w:r w:rsidRPr="005F25CA">
        <w:rPr>
          <w:rStyle w:val="42"/>
          <w:i/>
          <w:iCs/>
          <w:sz w:val="24"/>
          <w:szCs w:val="24"/>
          <w:lang w:val="en-US"/>
        </w:rPr>
        <w:t>Laboratory tests.</w:t>
      </w:r>
    </w:p>
    <w:p w:rsidR="00512251" w:rsidRPr="005F25CA" w:rsidRDefault="00EE6BCC" w:rsidP="00710824">
      <w:pPr>
        <w:pStyle w:val="4"/>
        <w:numPr>
          <w:ilvl w:val="0"/>
          <w:numId w:val="17"/>
        </w:numPr>
        <w:shd w:val="clear" w:color="auto" w:fill="auto"/>
        <w:spacing w:line="240" w:lineRule="auto"/>
        <w:rPr>
          <w:sz w:val="24"/>
          <w:szCs w:val="24"/>
          <w:lang w:val="en-US"/>
        </w:rPr>
      </w:pPr>
      <w:r w:rsidRPr="005F25CA">
        <w:rPr>
          <w:sz w:val="24"/>
          <w:szCs w:val="24"/>
          <w:lang w:val="en-US" w:eastAsia="en-US" w:bidi="en-US"/>
        </w:rPr>
        <w:t>Platelet monitoring.</w:t>
      </w:r>
    </w:p>
    <w:p w:rsidR="00512251" w:rsidRPr="005F25CA" w:rsidRDefault="00EE6BCC" w:rsidP="002701F5">
      <w:pPr>
        <w:pStyle w:val="41"/>
        <w:shd w:val="clear" w:color="auto" w:fill="auto"/>
        <w:spacing w:line="240" w:lineRule="auto"/>
        <w:rPr>
          <w:sz w:val="24"/>
          <w:szCs w:val="24"/>
          <w:lang w:val="en-US"/>
        </w:rPr>
      </w:pPr>
      <w:r w:rsidRPr="005F25CA">
        <w:rPr>
          <w:sz w:val="24"/>
          <w:szCs w:val="24"/>
          <w:lang w:val="en-US" w:eastAsia="en-US" w:bidi="en-US"/>
        </w:rPr>
        <w:t>Heparin-induced thrombocytopenia (HIT).</w:t>
      </w:r>
    </w:p>
    <w:p w:rsidR="00512251" w:rsidRPr="005F25CA" w:rsidRDefault="0036382E"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There is a risk of serious, occasionally </w:t>
      </w:r>
      <w:proofErr w:type="spellStart"/>
      <w:r w:rsidRPr="005F25CA">
        <w:rPr>
          <w:sz w:val="24"/>
          <w:szCs w:val="24"/>
          <w:lang w:val="en-US" w:eastAsia="en-US" w:bidi="en-US"/>
        </w:rPr>
        <w:t>thrombogenic</w:t>
      </w:r>
      <w:proofErr w:type="spellEnd"/>
      <w:r w:rsidRPr="005F25CA">
        <w:rPr>
          <w:sz w:val="24"/>
          <w:szCs w:val="24"/>
          <w:lang w:val="en-US" w:eastAsia="en-US" w:bidi="en-US"/>
        </w:rPr>
        <w:t>, heparin-induced thrombocytopenia (reported with unfractionated heparin and less often with LMWH) of immunologic origin, called type II HIT (see Undesirable effects).</w:t>
      </w:r>
    </w:p>
    <w:p w:rsidR="00512251" w:rsidRPr="005F25CA" w:rsidRDefault="0011312E" w:rsidP="002701F5">
      <w:pPr>
        <w:pStyle w:val="4"/>
        <w:shd w:val="clear" w:color="auto" w:fill="auto"/>
        <w:spacing w:line="240" w:lineRule="auto"/>
        <w:ind w:firstLine="0"/>
        <w:rPr>
          <w:sz w:val="24"/>
          <w:szCs w:val="24"/>
          <w:lang w:val="en-US"/>
        </w:rPr>
      </w:pPr>
      <w:r w:rsidRPr="005F25CA">
        <w:rPr>
          <w:sz w:val="24"/>
          <w:szCs w:val="24"/>
          <w:lang w:val="en-US" w:eastAsia="en-US" w:bidi="en-US"/>
        </w:rPr>
        <w:t>As a result of this risk, platelet counts must be performed regardless of the therapeutic indication and the dose administered.</w:t>
      </w:r>
    </w:p>
    <w:p w:rsidR="00512251" w:rsidRPr="005F25CA" w:rsidRDefault="0011312E"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Platelet counts must be performed before administration or at the latest within 24 hours of initiating treatment, then twice a week during the usual treatment duration.</w:t>
      </w:r>
    </w:p>
    <w:p w:rsidR="00512251" w:rsidRPr="005F25CA" w:rsidRDefault="003B0A6E" w:rsidP="00710824">
      <w:pPr>
        <w:pStyle w:val="4"/>
        <w:shd w:val="clear" w:color="auto" w:fill="auto"/>
        <w:spacing w:line="240" w:lineRule="auto"/>
        <w:ind w:firstLine="0"/>
        <w:jc w:val="both"/>
        <w:rPr>
          <w:sz w:val="24"/>
          <w:szCs w:val="24"/>
          <w:lang w:val="en-US"/>
        </w:rPr>
      </w:pPr>
      <w:r w:rsidRPr="005F25CA">
        <w:rPr>
          <w:sz w:val="24"/>
          <w:szCs w:val="24"/>
          <w:lang w:val="en-US" w:eastAsia="en-US" w:bidi="en-US"/>
        </w:rPr>
        <w:t>Should long-term treatment prove necessary in certain specific cases (</w:t>
      </w:r>
      <w:proofErr w:type="spellStart"/>
      <w:r w:rsidR="00710824" w:rsidRPr="005F25CA">
        <w:rPr>
          <w:sz w:val="24"/>
          <w:szCs w:val="24"/>
          <w:lang w:val="en-US" w:eastAsia="en-US" w:bidi="en-US"/>
        </w:rPr>
        <w:t>eg</w:t>
      </w:r>
      <w:proofErr w:type="spellEnd"/>
      <w:r w:rsidRPr="005F25CA">
        <w:rPr>
          <w:sz w:val="24"/>
          <w:szCs w:val="24"/>
          <w:lang w:val="en-US" w:eastAsia="en-US" w:bidi="en-US"/>
        </w:rPr>
        <w:t>. hip surgery, second and third trimesters of high-risk pregnancy (see Pregnancy and Lactation)), platelet counts shall be measured twice a week during the first month of treatment (highest risk period) and then once a week until treatment discontinuation.</w:t>
      </w:r>
    </w:p>
    <w:p w:rsidR="00512251" w:rsidRPr="005F25CA" w:rsidRDefault="00C32E35" w:rsidP="00710824">
      <w:pPr>
        <w:pStyle w:val="4"/>
        <w:shd w:val="clear" w:color="auto" w:fill="auto"/>
        <w:spacing w:line="240" w:lineRule="auto"/>
        <w:ind w:firstLine="0"/>
        <w:jc w:val="both"/>
        <w:rPr>
          <w:sz w:val="24"/>
          <w:szCs w:val="24"/>
          <w:lang w:val="en-US"/>
        </w:rPr>
      </w:pPr>
      <w:r w:rsidRPr="005F25CA">
        <w:rPr>
          <w:sz w:val="24"/>
          <w:szCs w:val="24"/>
          <w:lang w:val="en-US" w:eastAsia="en-US" w:bidi="en-US"/>
        </w:rPr>
        <w:t>HIT should be suspected when the platelet count is below 150</w:t>
      </w:r>
      <w:r w:rsidR="00710824" w:rsidRPr="005F25CA">
        <w:rPr>
          <w:sz w:val="24"/>
          <w:szCs w:val="24"/>
          <w:lang w:val="en-US" w:eastAsia="en-US" w:bidi="en-US"/>
        </w:rPr>
        <w:t>,</w:t>
      </w:r>
      <w:r w:rsidRPr="005F25CA">
        <w:rPr>
          <w:sz w:val="24"/>
          <w:szCs w:val="24"/>
          <w:lang w:val="en-US" w:eastAsia="en-US" w:bidi="en-US"/>
        </w:rPr>
        <w:t>000/mm</w:t>
      </w:r>
      <w:r w:rsidRPr="005F25CA">
        <w:rPr>
          <w:sz w:val="24"/>
          <w:szCs w:val="24"/>
          <w:vertAlign w:val="superscript"/>
          <w:lang w:val="en-US" w:eastAsia="en-US" w:bidi="en-US"/>
        </w:rPr>
        <w:t>3</w:t>
      </w:r>
      <w:r w:rsidRPr="005F25CA">
        <w:rPr>
          <w:sz w:val="24"/>
          <w:szCs w:val="24"/>
          <w:lang w:val="en-US" w:eastAsia="en-US" w:bidi="en-US"/>
        </w:rPr>
        <w:t xml:space="preserve"> and/or when there is a drop of 30% to 50% between two successive platelet counts.</w:t>
      </w:r>
      <w:r w:rsidR="00D36A8D" w:rsidRPr="005F25CA">
        <w:rPr>
          <w:sz w:val="24"/>
          <w:szCs w:val="24"/>
          <w:lang w:val="en-US"/>
        </w:rPr>
        <w:t xml:space="preserve"> </w:t>
      </w:r>
      <w:r w:rsidRPr="005F25CA">
        <w:rPr>
          <w:sz w:val="24"/>
          <w:szCs w:val="24"/>
          <w:lang w:val="en-US" w:eastAsia="en-US" w:bidi="en-US"/>
        </w:rPr>
        <w:t>HIT mainly develops 5 to 21 days after heparin treatment is instituted (with a peak incidence after about 10 days).</w:t>
      </w:r>
    </w:p>
    <w:p w:rsidR="00512251" w:rsidRPr="005F25CA" w:rsidRDefault="00044C3D" w:rsidP="00710824">
      <w:pPr>
        <w:pStyle w:val="4"/>
        <w:spacing w:line="240" w:lineRule="auto"/>
        <w:ind w:firstLine="0"/>
        <w:jc w:val="both"/>
        <w:rPr>
          <w:sz w:val="24"/>
          <w:szCs w:val="24"/>
          <w:lang w:val="en-US"/>
        </w:rPr>
      </w:pPr>
      <w:r w:rsidRPr="005F25CA">
        <w:rPr>
          <w:sz w:val="24"/>
          <w:szCs w:val="24"/>
          <w:lang w:val="en-US" w:eastAsia="en-US" w:bidi="en-US"/>
        </w:rPr>
        <w:t>This complication can however occur much earlier in patients with a history of heparin-induced thrombocytopenia.</w:t>
      </w:r>
      <w:r w:rsidR="00D36A8D" w:rsidRPr="005F25CA">
        <w:rPr>
          <w:sz w:val="24"/>
          <w:szCs w:val="24"/>
          <w:lang w:val="en-US"/>
        </w:rPr>
        <w:t xml:space="preserve"> </w:t>
      </w:r>
      <w:r w:rsidRPr="005F25CA">
        <w:rPr>
          <w:sz w:val="24"/>
          <w:szCs w:val="24"/>
          <w:lang w:val="en-US" w:eastAsia="en-US" w:bidi="en-US"/>
        </w:rPr>
        <w:t>Isolated cases have been also reported after 21 days.</w:t>
      </w:r>
      <w:r w:rsidR="00D36A8D" w:rsidRPr="005F25CA">
        <w:rPr>
          <w:sz w:val="24"/>
          <w:szCs w:val="24"/>
          <w:lang w:val="en-US"/>
        </w:rPr>
        <w:t xml:space="preserve"> </w:t>
      </w:r>
      <w:r w:rsidR="00637EA7" w:rsidRPr="005F25CA">
        <w:rPr>
          <w:sz w:val="24"/>
          <w:szCs w:val="24"/>
          <w:lang w:val="en-US" w:eastAsia="en-US" w:bidi="en-US"/>
        </w:rPr>
        <w:t>This type of patient history must therefore be systematically investigated by means of an in-depth interview before starting treatment.</w:t>
      </w:r>
    </w:p>
    <w:p w:rsidR="00512251" w:rsidRPr="005F25CA" w:rsidRDefault="00637EA7" w:rsidP="00710824">
      <w:pPr>
        <w:pStyle w:val="4"/>
        <w:shd w:val="clear" w:color="auto" w:fill="auto"/>
        <w:spacing w:line="240" w:lineRule="auto"/>
        <w:ind w:firstLine="0"/>
        <w:jc w:val="both"/>
        <w:rPr>
          <w:sz w:val="24"/>
          <w:szCs w:val="24"/>
          <w:lang w:val="en-US"/>
        </w:rPr>
      </w:pPr>
      <w:r w:rsidRPr="005F25CA">
        <w:rPr>
          <w:sz w:val="24"/>
          <w:szCs w:val="24"/>
          <w:lang w:val="en-US" w:eastAsia="en-US" w:bidi="en-US"/>
        </w:rPr>
        <w:t>Furthermore, the risk of recurrence when reinstituting heparin may remain for several years or even indefinitely (see Contraindications).</w:t>
      </w:r>
    </w:p>
    <w:p w:rsidR="00512251" w:rsidRPr="005F25CA" w:rsidRDefault="00637EA7" w:rsidP="00710824">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In all cases, the occurrence of HIT constitutes </w:t>
      </w:r>
      <w:r w:rsidRPr="005F25CA">
        <w:rPr>
          <w:rStyle w:val="11"/>
          <w:sz w:val="24"/>
          <w:szCs w:val="24"/>
          <w:lang w:val="en-US"/>
        </w:rPr>
        <w:t>an emergency situation</w:t>
      </w:r>
      <w:r w:rsidRPr="005F25CA">
        <w:rPr>
          <w:sz w:val="24"/>
          <w:szCs w:val="24"/>
          <w:lang w:val="en-US" w:eastAsia="en-US" w:bidi="en-US"/>
        </w:rPr>
        <w:t xml:space="preserve"> and requires a specialist opinion.</w:t>
      </w:r>
    </w:p>
    <w:p w:rsidR="00512251" w:rsidRPr="005F25CA" w:rsidRDefault="00DE50B8" w:rsidP="00710824">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Any significant drop in the platelet count (30% to 50% </w:t>
      </w:r>
      <w:r w:rsidR="005F25CA" w:rsidRPr="005F25CA">
        <w:rPr>
          <w:rStyle w:val="a7"/>
          <w:sz w:val="24"/>
          <w:szCs w:val="24"/>
          <w:lang w:val="en-US"/>
        </w:rPr>
        <w:t>vs.</w:t>
      </w:r>
      <w:r w:rsidRPr="005F25CA">
        <w:rPr>
          <w:sz w:val="24"/>
          <w:szCs w:val="24"/>
          <w:lang w:val="en-US" w:eastAsia="en-US" w:bidi="en-US"/>
        </w:rPr>
        <w:t xml:space="preserve"> baseline) is a warning sign even before values reach a critical level.</w:t>
      </w:r>
      <w:r w:rsidR="00D36A8D" w:rsidRPr="005F25CA">
        <w:rPr>
          <w:sz w:val="24"/>
          <w:szCs w:val="24"/>
          <w:lang w:val="en-US"/>
        </w:rPr>
        <w:t xml:space="preserve"> </w:t>
      </w:r>
      <w:r w:rsidRPr="005F25CA">
        <w:rPr>
          <w:sz w:val="24"/>
          <w:szCs w:val="24"/>
          <w:lang w:val="en-US" w:eastAsia="en-US" w:bidi="en-US"/>
        </w:rPr>
        <w:t>Should a decrease in platelets be observed, the following must be performed in all cases:</w:t>
      </w:r>
    </w:p>
    <w:p w:rsidR="00512251" w:rsidRPr="005F25CA" w:rsidRDefault="00605134" w:rsidP="00710824">
      <w:pPr>
        <w:pStyle w:val="4"/>
        <w:numPr>
          <w:ilvl w:val="0"/>
          <w:numId w:val="18"/>
        </w:numPr>
        <w:shd w:val="clear" w:color="auto" w:fill="auto"/>
        <w:spacing w:line="240" w:lineRule="auto"/>
        <w:jc w:val="both"/>
        <w:rPr>
          <w:sz w:val="24"/>
          <w:szCs w:val="24"/>
          <w:lang w:val="en-US"/>
        </w:rPr>
      </w:pPr>
      <w:r w:rsidRPr="005F25CA">
        <w:rPr>
          <w:sz w:val="24"/>
          <w:szCs w:val="24"/>
          <w:lang w:val="en-US" w:eastAsia="en-US" w:bidi="en-US"/>
        </w:rPr>
        <w:t>an immediate platelet count for verification;</w:t>
      </w:r>
    </w:p>
    <w:p w:rsidR="00512251" w:rsidRPr="005F25CA" w:rsidRDefault="00856C9F" w:rsidP="00710824">
      <w:pPr>
        <w:pStyle w:val="4"/>
        <w:numPr>
          <w:ilvl w:val="0"/>
          <w:numId w:val="18"/>
        </w:numPr>
        <w:shd w:val="clear" w:color="auto" w:fill="auto"/>
        <w:spacing w:line="240" w:lineRule="auto"/>
        <w:rPr>
          <w:sz w:val="24"/>
          <w:szCs w:val="24"/>
          <w:lang w:val="en-US"/>
        </w:rPr>
      </w:pPr>
      <w:r w:rsidRPr="005F25CA">
        <w:rPr>
          <w:rStyle w:val="11"/>
          <w:sz w:val="24"/>
          <w:szCs w:val="24"/>
          <w:lang w:val="en-US"/>
        </w:rPr>
        <w:t>discontinuation of heparin treatment</w:t>
      </w:r>
      <w:r w:rsidRPr="005F25CA">
        <w:rPr>
          <w:sz w:val="24"/>
          <w:szCs w:val="24"/>
          <w:lang w:val="en-US" w:eastAsia="en-US" w:bidi="en-US"/>
        </w:rPr>
        <w:t>, if the drop is confirmed or even increased based on these results and when no other obvious cause is identified.</w:t>
      </w:r>
    </w:p>
    <w:p w:rsidR="00512251" w:rsidRPr="005F25CA" w:rsidRDefault="00856C9F"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A blood sample must be taken using a citrate tube in order to perform </w:t>
      </w:r>
      <w:r w:rsidRPr="005F25CA">
        <w:rPr>
          <w:rStyle w:val="a7"/>
          <w:sz w:val="24"/>
          <w:szCs w:val="24"/>
          <w:lang w:val="en-US"/>
        </w:rPr>
        <w:t xml:space="preserve">in vitro </w:t>
      </w:r>
      <w:r w:rsidRPr="005F25CA">
        <w:rPr>
          <w:sz w:val="24"/>
          <w:szCs w:val="24"/>
          <w:lang w:val="en-US" w:eastAsia="en-US" w:bidi="en-US"/>
        </w:rPr>
        <w:t>platelet aggregation and immunological tests.</w:t>
      </w:r>
      <w:r w:rsidR="00D36A8D" w:rsidRPr="005F25CA">
        <w:rPr>
          <w:sz w:val="24"/>
          <w:szCs w:val="24"/>
          <w:lang w:val="en-US"/>
        </w:rPr>
        <w:t xml:space="preserve"> </w:t>
      </w:r>
      <w:r w:rsidRPr="005F25CA">
        <w:rPr>
          <w:sz w:val="24"/>
          <w:szCs w:val="24"/>
          <w:lang w:val="en-US" w:eastAsia="en-US" w:bidi="en-US"/>
        </w:rPr>
        <w:t xml:space="preserve">However, under these conditions, the immediate measures to be taken are not based on </w:t>
      </w:r>
      <w:r w:rsidRPr="005F25CA">
        <w:rPr>
          <w:rStyle w:val="a7"/>
          <w:sz w:val="24"/>
          <w:szCs w:val="24"/>
          <w:lang w:val="en-US"/>
        </w:rPr>
        <w:t>in vitro</w:t>
      </w:r>
      <w:r w:rsidRPr="005F25CA">
        <w:rPr>
          <w:sz w:val="24"/>
          <w:szCs w:val="24"/>
          <w:lang w:val="en-US" w:eastAsia="en-US" w:bidi="en-US"/>
        </w:rPr>
        <w:t xml:space="preserve"> platelet aggregation or immunological test results as only a few specialized laboratories perform these tests routinely and the results are available at best after several hours.</w:t>
      </w:r>
      <w:r w:rsidR="00D36A8D" w:rsidRPr="005F25CA">
        <w:rPr>
          <w:sz w:val="24"/>
          <w:szCs w:val="24"/>
          <w:lang w:val="en-US"/>
        </w:rPr>
        <w:t xml:space="preserve"> </w:t>
      </w:r>
      <w:r w:rsidRPr="005F25CA">
        <w:rPr>
          <w:sz w:val="24"/>
          <w:szCs w:val="24"/>
          <w:lang w:val="en-US" w:eastAsia="en-US" w:bidi="en-US"/>
        </w:rPr>
        <w:t>These tests are however necessary to assist in diagnosis of the complication as the risk of thrombosis is very high if heparin treatment is continued.</w:t>
      </w:r>
    </w:p>
    <w:p w:rsidR="00512251" w:rsidRPr="005F25CA" w:rsidRDefault="00856C9F" w:rsidP="00D53FA1">
      <w:pPr>
        <w:pStyle w:val="4"/>
        <w:numPr>
          <w:ilvl w:val="0"/>
          <w:numId w:val="18"/>
        </w:numPr>
        <w:shd w:val="clear" w:color="auto" w:fill="auto"/>
        <w:spacing w:line="240" w:lineRule="auto"/>
        <w:jc w:val="both"/>
        <w:rPr>
          <w:sz w:val="24"/>
          <w:szCs w:val="24"/>
          <w:lang w:val="en-US"/>
        </w:rPr>
      </w:pPr>
      <w:r w:rsidRPr="005F25CA">
        <w:rPr>
          <w:sz w:val="24"/>
          <w:szCs w:val="24"/>
          <w:lang w:val="en-US" w:eastAsia="en-US" w:bidi="en-US"/>
        </w:rPr>
        <w:t>prevention or treatment of HIT-related thrombotic complications.</w:t>
      </w:r>
    </w:p>
    <w:p w:rsidR="00512251" w:rsidRPr="005F25CA" w:rsidRDefault="00856C9F"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If continued anticoagulant therapy appears to be essential, heparin must be replaced by an antithrombotic agent of a different chemical group such as sodium </w:t>
      </w:r>
      <w:proofErr w:type="spellStart"/>
      <w:r w:rsidRPr="005F25CA">
        <w:rPr>
          <w:sz w:val="24"/>
          <w:szCs w:val="24"/>
          <w:lang w:val="en-US" w:eastAsia="en-US" w:bidi="en-US"/>
        </w:rPr>
        <w:t>danaparoid</w:t>
      </w:r>
      <w:proofErr w:type="spellEnd"/>
      <w:r w:rsidRPr="005F25CA">
        <w:rPr>
          <w:sz w:val="24"/>
          <w:szCs w:val="24"/>
          <w:lang w:val="en-US" w:eastAsia="en-US" w:bidi="en-US"/>
        </w:rPr>
        <w:t xml:space="preserve"> or </w:t>
      </w:r>
      <w:proofErr w:type="spellStart"/>
      <w:r w:rsidRPr="005F25CA">
        <w:rPr>
          <w:sz w:val="24"/>
          <w:szCs w:val="24"/>
          <w:lang w:val="en-US" w:eastAsia="en-US" w:bidi="en-US"/>
        </w:rPr>
        <w:t>hirudin</w:t>
      </w:r>
      <w:proofErr w:type="spellEnd"/>
      <w:r w:rsidRPr="005F25CA">
        <w:rPr>
          <w:sz w:val="24"/>
          <w:szCs w:val="24"/>
          <w:lang w:val="en-US" w:eastAsia="en-US" w:bidi="en-US"/>
        </w:rPr>
        <w:t>, prescribed at curative or preventive doses on a case-by-case basis.</w:t>
      </w:r>
    </w:p>
    <w:p w:rsidR="00512251" w:rsidRPr="005F25CA" w:rsidRDefault="00856C9F"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Replacement by oral anticoagulants can only take place after the platelet count has reverted to normal due to the risk of exacerbation of thrombosis by oral anticoagulants.</w:t>
      </w:r>
    </w:p>
    <w:p w:rsidR="00512251" w:rsidRPr="005F25CA" w:rsidRDefault="00856C9F" w:rsidP="00D53FA1">
      <w:pPr>
        <w:pStyle w:val="41"/>
        <w:numPr>
          <w:ilvl w:val="0"/>
          <w:numId w:val="17"/>
        </w:numPr>
        <w:shd w:val="clear" w:color="auto" w:fill="auto"/>
        <w:spacing w:line="240" w:lineRule="auto"/>
        <w:jc w:val="both"/>
        <w:rPr>
          <w:sz w:val="24"/>
          <w:szCs w:val="24"/>
          <w:lang w:val="en-US"/>
        </w:rPr>
      </w:pPr>
      <w:r w:rsidRPr="005F25CA">
        <w:rPr>
          <w:sz w:val="24"/>
          <w:szCs w:val="24"/>
          <w:lang w:val="en-US" w:eastAsia="en-US" w:bidi="en-US"/>
        </w:rPr>
        <w:t>Replacement of heparin by oral anticoagulants.</w:t>
      </w:r>
    </w:p>
    <w:p w:rsidR="00512251" w:rsidRPr="005F25CA" w:rsidRDefault="00E1476A"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lastRenderedPageBreak/>
        <w:t>Clinical monitoring and laboratory tests (</w:t>
      </w:r>
      <w:proofErr w:type="spellStart"/>
      <w:r w:rsidRPr="005F25CA">
        <w:rPr>
          <w:sz w:val="24"/>
          <w:szCs w:val="24"/>
          <w:lang w:val="en-US" w:eastAsia="en-US" w:bidi="en-US"/>
        </w:rPr>
        <w:t>prothrombin</w:t>
      </w:r>
      <w:proofErr w:type="spellEnd"/>
      <w:r w:rsidRPr="005F25CA">
        <w:rPr>
          <w:sz w:val="24"/>
          <w:szCs w:val="24"/>
          <w:lang w:val="en-US" w:eastAsia="en-US" w:bidi="en-US"/>
        </w:rPr>
        <w:t xml:space="preserve"> time expressed as the international normalized ratio (INR)) must be intensified to monitor the effect of oral anticoagulants.</w:t>
      </w:r>
    </w:p>
    <w:p w:rsidR="00512251" w:rsidRPr="005F25CA" w:rsidRDefault="00E1476A"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As there is an interval before the oral anticoagulant reaches its maximum effect, heparin therapy should be continued at a constant dose for as long as necessary in order to maintain INR within the desired therapeutic range, for the indication in two successive tests.</w:t>
      </w:r>
    </w:p>
    <w:p w:rsidR="00512251" w:rsidRPr="005F25CA" w:rsidRDefault="00E1476A" w:rsidP="00D53FA1">
      <w:pPr>
        <w:pStyle w:val="41"/>
        <w:numPr>
          <w:ilvl w:val="0"/>
          <w:numId w:val="17"/>
        </w:numPr>
        <w:shd w:val="clear" w:color="auto" w:fill="auto"/>
        <w:spacing w:line="240" w:lineRule="auto"/>
        <w:jc w:val="both"/>
        <w:rPr>
          <w:sz w:val="24"/>
          <w:szCs w:val="24"/>
          <w:lang w:val="en-US"/>
        </w:rPr>
      </w:pPr>
      <w:r w:rsidRPr="005F25CA">
        <w:rPr>
          <w:sz w:val="24"/>
          <w:szCs w:val="24"/>
          <w:lang w:val="en-US" w:eastAsia="en-US" w:bidi="en-US"/>
        </w:rPr>
        <w:t>Monitoring of anti-factor Xa activity.</w:t>
      </w:r>
    </w:p>
    <w:p w:rsidR="00512251" w:rsidRPr="005F25CA" w:rsidRDefault="00183109"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As most of the clinical studies which demonstrated the efficacy of LMWH were conducted using a dose based on bodyweight without specific laboratory monitoring, the usefulness of laboratory tests for assessing the efficacy of LMWH treatment has not been established. However, laboratory tests, i.e. monitoring of anti-Xa activity may be useful in managing the risk of bleeding in certain clinical conditions often associated with a risk of overdose.</w:t>
      </w:r>
    </w:p>
    <w:p w:rsidR="00512251" w:rsidRPr="005F25CA" w:rsidRDefault="00183109"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These situations mainly involve the </w:t>
      </w:r>
      <w:r w:rsidRPr="005F25CA">
        <w:rPr>
          <w:rStyle w:val="11"/>
          <w:sz w:val="24"/>
          <w:szCs w:val="24"/>
          <w:lang w:val="en-US"/>
        </w:rPr>
        <w:t>curative</w:t>
      </w:r>
      <w:r w:rsidRPr="005F25CA">
        <w:rPr>
          <w:sz w:val="24"/>
          <w:szCs w:val="24"/>
          <w:lang w:val="en-US" w:eastAsia="en-US" w:bidi="en-US"/>
        </w:rPr>
        <w:t xml:space="preserve"> indications of LMWH, due to the doses administered, in patients with:</w:t>
      </w:r>
    </w:p>
    <w:p w:rsidR="00512251" w:rsidRPr="005F25CA" w:rsidRDefault="00183109" w:rsidP="001F77FC">
      <w:pPr>
        <w:pStyle w:val="4"/>
        <w:numPr>
          <w:ilvl w:val="0"/>
          <w:numId w:val="20"/>
        </w:numPr>
        <w:shd w:val="clear" w:color="auto" w:fill="auto"/>
        <w:spacing w:line="240" w:lineRule="auto"/>
        <w:jc w:val="both"/>
        <w:rPr>
          <w:sz w:val="24"/>
          <w:szCs w:val="24"/>
          <w:lang w:val="en-US"/>
        </w:rPr>
      </w:pPr>
      <w:r w:rsidRPr="005F25CA">
        <w:rPr>
          <w:sz w:val="24"/>
          <w:szCs w:val="24"/>
          <w:lang w:val="en-US" w:eastAsia="en-US" w:bidi="en-US"/>
        </w:rPr>
        <w:t xml:space="preserve">mild to moderate renal failure (creatinine clearance of approximately 30 </w:t>
      </w:r>
      <w:r w:rsidR="00D027D1" w:rsidRPr="005F25CA">
        <w:rPr>
          <w:sz w:val="24"/>
          <w:szCs w:val="24"/>
          <w:lang w:val="en-US" w:eastAsia="en-US" w:bidi="en-US"/>
        </w:rPr>
        <w:t>mL</w:t>
      </w:r>
      <w:r w:rsidRPr="005F25CA">
        <w:rPr>
          <w:sz w:val="24"/>
          <w:szCs w:val="24"/>
          <w:lang w:val="en-US" w:eastAsia="en-US" w:bidi="en-US"/>
        </w:rPr>
        <w:t xml:space="preserve">/min to 60 </w:t>
      </w:r>
      <w:r w:rsidR="00D027D1" w:rsidRPr="005F25CA">
        <w:rPr>
          <w:sz w:val="24"/>
          <w:szCs w:val="24"/>
          <w:lang w:val="en-US" w:eastAsia="en-US" w:bidi="en-US"/>
        </w:rPr>
        <w:t>mL</w:t>
      </w:r>
      <w:r w:rsidRPr="005F25CA">
        <w:rPr>
          <w:sz w:val="24"/>
          <w:szCs w:val="24"/>
          <w:lang w:val="en-US" w:eastAsia="en-US" w:bidi="en-US"/>
        </w:rPr>
        <w:t xml:space="preserve">/min calculated using the </w:t>
      </w:r>
      <w:proofErr w:type="spellStart"/>
      <w:r w:rsidRPr="005F25CA">
        <w:rPr>
          <w:sz w:val="24"/>
          <w:szCs w:val="24"/>
          <w:lang w:val="en-US" w:eastAsia="en-US" w:bidi="en-US"/>
        </w:rPr>
        <w:t>Cockroft</w:t>
      </w:r>
      <w:proofErr w:type="spellEnd"/>
      <w:r w:rsidRPr="005F25CA">
        <w:rPr>
          <w:sz w:val="24"/>
          <w:szCs w:val="24"/>
          <w:lang w:val="en-US" w:eastAsia="en-US" w:bidi="en-US"/>
        </w:rPr>
        <w:t xml:space="preserve"> formula).</w:t>
      </w:r>
      <w:r w:rsidR="00D36A8D" w:rsidRPr="005F25CA">
        <w:rPr>
          <w:sz w:val="24"/>
          <w:szCs w:val="24"/>
          <w:lang w:val="en-US"/>
        </w:rPr>
        <w:t xml:space="preserve"> </w:t>
      </w:r>
      <w:r w:rsidRPr="005F25CA">
        <w:rPr>
          <w:sz w:val="24"/>
          <w:szCs w:val="24"/>
          <w:lang w:val="en-US" w:eastAsia="en-US" w:bidi="en-US"/>
        </w:rPr>
        <w:t>As LMWH is primarily eliminated by the renal route, unlike standard unfractionated heparin, any renal failure can result in relative overdose.</w:t>
      </w:r>
      <w:r w:rsidR="00D36A8D" w:rsidRPr="005F25CA">
        <w:rPr>
          <w:sz w:val="24"/>
          <w:szCs w:val="24"/>
          <w:lang w:val="en-US"/>
        </w:rPr>
        <w:t xml:space="preserve"> </w:t>
      </w:r>
      <w:r w:rsidRPr="005F25CA">
        <w:rPr>
          <w:sz w:val="24"/>
          <w:szCs w:val="24"/>
          <w:lang w:val="en-US" w:eastAsia="en-US" w:bidi="en-US"/>
        </w:rPr>
        <w:t>Severe renal failure is a contraindication to the use of LMWH at curative doses (see Contraindications);</w:t>
      </w:r>
    </w:p>
    <w:p w:rsidR="00512251" w:rsidRPr="005F25CA" w:rsidRDefault="00183109" w:rsidP="001F77FC">
      <w:pPr>
        <w:pStyle w:val="4"/>
        <w:numPr>
          <w:ilvl w:val="0"/>
          <w:numId w:val="20"/>
        </w:numPr>
        <w:shd w:val="clear" w:color="auto" w:fill="auto"/>
        <w:spacing w:line="240" w:lineRule="auto"/>
        <w:jc w:val="both"/>
        <w:rPr>
          <w:sz w:val="24"/>
          <w:szCs w:val="24"/>
          <w:lang w:val="en-US"/>
        </w:rPr>
      </w:pPr>
      <w:r w:rsidRPr="005F25CA">
        <w:rPr>
          <w:sz w:val="24"/>
          <w:szCs w:val="24"/>
          <w:lang w:val="en-US" w:eastAsia="en-US" w:bidi="en-US"/>
        </w:rPr>
        <w:t>extreme high or low bodyweight (</w:t>
      </w:r>
      <w:r w:rsidR="002C4827" w:rsidRPr="005F25CA">
        <w:rPr>
          <w:sz w:val="24"/>
          <w:szCs w:val="24"/>
          <w:lang w:val="en-US" w:eastAsia="en-US" w:bidi="en-US"/>
        </w:rPr>
        <w:t>extremely low body weight</w:t>
      </w:r>
      <w:r w:rsidRPr="005F25CA">
        <w:rPr>
          <w:sz w:val="24"/>
          <w:szCs w:val="24"/>
          <w:lang w:val="en-US" w:eastAsia="en-US" w:bidi="en-US"/>
        </w:rPr>
        <w:t xml:space="preserve"> or even cachexia, obesity);</w:t>
      </w:r>
    </w:p>
    <w:p w:rsidR="00512251" w:rsidRPr="005F25CA" w:rsidRDefault="002C4827" w:rsidP="001F77FC">
      <w:pPr>
        <w:pStyle w:val="4"/>
        <w:numPr>
          <w:ilvl w:val="0"/>
          <w:numId w:val="20"/>
        </w:numPr>
        <w:shd w:val="clear" w:color="auto" w:fill="auto"/>
        <w:spacing w:line="240" w:lineRule="auto"/>
        <w:jc w:val="both"/>
        <w:rPr>
          <w:sz w:val="24"/>
          <w:szCs w:val="24"/>
          <w:lang w:val="en-US"/>
        </w:rPr>
      </w:pPr>
      <w:r w:rsidRPr="005F25CA">
        <w:rPr>
          <w:sz w:val="24"/>
          <w:szCs w:val="24"/>
          <w:lang w:val="en-US" w:eastAsia="en-US" w:bidi="en-US"/>
        </w:rPr>
        <w:t>unexplained bleeding.</w:t>
      </w:r>
    </w:p>
    <w:p w:rsidR="00512251" w:rsidRPr="005F25CA" w:rsidRDefault="00326E9A"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In contrast, laboratory monitoring is not recommended at prophylactic doses if the LMWH treatment complies with the therapeutic recommendations (particularly treatment duration), or during hemodialysis.</w:t>
      </w:r>
    </w:p>
    <w:p w:rsidR="00512251" w:rsidRPr="005F25CA" w:rsidRDefault="00326E9A"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To detect possible heparin accumulation following repeated administration, it is recommended, if necessary, to collect a blood sample at peak activity (based on available data), i.e. approximately 4 hours after the third injection when the drug is given as 2 subcutaneous injections per day.</w:t>
      </w:r>
    </w:p>
    <w:p w:rsidR="00512251" w:rsidRPr="005F25CA" w:rsidRDefault="00E01023"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Repeating anti-Xa activity tests to determine blood heparin levels, for example every 2 to 3 days, should be decided on a case-by-case basis, depending on the results of the previous </w:t>
      </w:r>
      <w:r w:rsidR="002A2FA4">
        <w:rPr>
          <w:sz w:val="24"/>
          <w:szCs w:val="24"/>
          <w:lang w:val="en-US" w:eastAsia="en-US" w:bidi="en-US"/>
        </w:rPr>
        <w:t>investigation</w:t>
      </w:r>
      <w:r w:rsidRPr="005F25CA">
        <w:rPr>
          <w:sz w:val="24"/>
          <w:szCs w:val="24"/>
          <w:lang w:val="en-US" w:eastAsia="en-US" w:bidi="en-US"/>
        </w:rPr>
        <w:t>.</w:t>
      </w:r>
      <w:r w:rsidR="00D36A8D" w:rsidRPr="005F25CA">
        <w:rPr>
          <w:sz w:val="24"/>
          <w:szCs w:val="24"/>
          <w:lang w:val="en-US"/>
        </w:rPr>
        <w:t xml:space="preserve"> </w:t>
      </w:r>
      <w:r w:rsidRPr="005F25CA">
        <w:rPr>
          <w:sz w:val="24"/>
          <w:szCs w:val="24"/>
          <w:lang w:val="en-US" w:eastAsia="en-US" w:bidi="en-US"/>
        </w:rPr>
        <w:t>Possible LMWH dose adjustment should be considered.</w:t>
      </w:r>
    </w:p>
    <w:p w:rsidR="00512251" w:rsidRPr="005F25CA" w:rsidRDefault="000F0920"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The anti-Xa activity observed varies for each LMWH and each dosage regimen.</w:t>
      </w:r>
    </w:p>
    <w:p w:rsidR="00512251" w:rsidRPr="005F25CA" w:rsidRDefault="00ED432E"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According to the </w:t>
      </w:r>
      <w:r w:rsidR="000F0920" w:rsidRPr="005F25CA">
        <w:rPr>
          <w:sz w:val="24"/>
          <w:szCs w:val="24"/>
          <w:lang w:val="en-US" w:eastAsia="en-US" w:bidi="en-US"/>
        </w:rPr>
        <w:t>information, based on available data, the mean value (± standard deviation) observed 4 hours after the 7</w:t>
      </w:r>
      <w:r w:rsidR="000F0920" w:rsidRPr="005F25CA">
        <w:rPr>
          <w:sz w:val="24"/>
          <w:szCs w:val="24"/>
          <w:vertAlign w:val="superscript"/>
          <w:lang w:val="en-US" w:eastAsia="en-US" w:bidi="en-US"/>
        </w:rPr>
        <w:t>th</w:t>
      </w:r>
      <w:r w:rsidR="000F0920" w:rsidRPr="005F25CA">
        <w:rPr>
          <w:sz w:val="24"/>
          <w:szCs w:val="24"/>
          <w:lang w:val="en-US" w:eastAsia="en-US" w:bidi="en-US"/>
        </w:rPr>
        <w:t xml:space="preserve"> injection of enoxaparin given at a dose of 100 anti-Xa IU/kg/injection </w:t>
      </w:r>
      <w:proofErr w:type="spellStart"/>
      <w:r w:rsidR="000F0920" w:rsidRPr="005F25CA">
        <w:rPr>
          <w:sz w:val="24"/>
          <w:szCs w:val="24"/>
          <w:lang w:val="en-US" w:eastAsia="en-US" w:bidi="en-US"/>
        </w:rPr>
        <w:t>b.i.d</w:t>
      </w:r>
      <w:proofErr w:type="spellEnd"/>
      <w:r w:rsidR="000F0920" w:rsidRPr="005F25CA">
        <w:rPr>
          <w:sz w:val="24"/>
          <w:szCs w:val="24"/>
          <w:lang w:val="en-US" w:eastAsia="en-US" w:bidi="en-US"/>
        </w:rPr>
        <w:t>. was 1.2 ± 0.17 anti-Xa IU/</w:t>
      </w:r>
      <w:r w:rsidR="00D027D1" w:rsidRPr="005F25CA">
        <w:rPr>
          <w:sz w:val="24"/>
          <w:szCs w:val="24"/>
          <w:lang w:val="en-US" w:eastAsia="en-US" w:bidi="en-US"/>
        </w:rPr>
        <w:t>mL</w:t>
      </w:r>
      <w:r w:rsidR="000F0920" w:rsidRPr="005F25CA">
        <w:rPr>
          <w:sz w:val="24"/>
          <w:szCs w:val="24"/>
          <w:lang w:val="en-US" w:eastAsia="en-US" w:bidi="en-US"/>
        </w:rPr>
        <w:t>.</w:t>
      </w:r>
    </w:p>
    <w:p w:rsidR="00512251" w:rsidRPr="005F25CA" w:rsidRDefault="000F0920"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This mean value was observed during clinical studies when anti-Xa activity tests were performed by a chromogenic (</w:t>
      </w:r>
      <w:proofErr w:type="spellStart"/>
      <w:r w:rsidRPr="005F25CA">
        <w:rPr>
          <w:sz w:val="24"/>
          <w:szCs w:val="24"/>
          <w:lang w:val="en-US" w:eastAsia="en-US" w:bidi="en-US"/>
        </w:rPr>
        <w:t>amidolytic</w:t>
      </w:r>
      <w:proofErr w:type="spellEnd"/>
      <w:r w:rsidRPr="005F25CA">
        <w:rPr>
          <w:sz w:val="24"/>
          <w:szCs w:val="24"/>
          <w:lang w:val="en-US" w:eastAsia="en-US" w:bidi="en-US"/>
        </w:rPr>
        <w:t>) method.</w:t>
      </w:r>
    </w:p>
    <w:p w:rsidR="00512251" w:rsidRPr="005F25CA" w:rsidRDefault="006C2038" w:rsidP="00E00F06">
      <w:pPr>
        <w:pStyle w:val="41"/>
        <w:numPr>
          <w:ilvl w:val="0"/>
          <w:numId w:val="21"/>
        </w:numPr>
        <w:shd w:val="clear" w:color="auto" w:fill="auto"/>
        <w:spacing w:line="240" w:lineRule="auto"/>
        <w:jc w:val="both"/>
        <w:rPr>
          <w:sz w:val="24"/>
          <w:szCs w:val="24"/>
          <w:lang w:val="en-US"/>
        </w:rPr>
      </w:pPr>
      <w:r w:rsidRPr="005F25CA">
        <w:rPr>
          <w:sz w:val="24"/>
          <w:szCs w:val="24"/>
          <w:lang w:val="en-US" w:eastAsia="en-US" w:bidi="en-US"/>
        </w:rPr>
        <w:t xml:space="preserve">Activated partial </w:t>
      </w:r>
      <w:proofErr w:type="spellStart"/>
      <w:r w:rsidRPr="005F25CA">
        <w:rPr>
          <w:sz w:val="24"/>
          <w:szCs w:val="24"/>
          <w:lang w:val="en-US" w:eastAsia="en-US" w:bidi="en-US"/>
        </w:rPr>
        <w:t>thromboplastin</w:t>
      </w:r>
      <w:proofErr w:type="spellEnd"/>
      <w:r w:rsidRPr="005F25CA">
        <w:rPr>
          <w:sz w:val="24"/>
          <w:szCs w:val="24"/>
          <w:lang w:val="en-US" w:eastAsia="en-US" w:bidi="en-US"/>
        </w:rPr>
        <w:t xml:space="preserve"> time (</w:t>
      </w:r>
      <w:proofErr w:type="spellStart"/>
      <w:r w:rsidRPr="005F25CA">
        <w:rPr>
          <w:sz w:val="24"/>
          <w:szCs w:val="24"/>
          <w:lang w:val="en-US" w:eastAsia="en-US" w:bidi="en-US"/>
        </w:rPr>
        <w:t>aPTT</w:t>
      </w:r>
      <w:proofErr w:type="spellEnd"/>
      <w:r w:rsidRPr="005F25CA">
        <w:rPr>
          <w:sz w:val="24"/>
          <w:szCs w:val="24"/>
          <w:lang w:val="en-US" w:eastAsia="en-US" w:bidi="en-US"/>
        </w:rPr>
        <w:t>) monitoring.</w:t>
      </w:r>
    </w:p>
    <w:p w:rsidR="00512251" w:rsidRPr="005F25CA" w:rsidRDefault="00FC0EA5" w:rsidP="002701F5">
      <w:pPr>
        <w:pStyle w:val="4"/>
        <w:shd w:val="clear" w:color="auto" w:fill="auto"/>
        <w:spacing w:line="240" w:lineRule="auto"/>
        <w:ind w:firstLine="0"/>
        <w:jc w:val="both"/>
        <w:rPr>
          <w:sz w:val="24"/>
          <w:szCs w:val="24"/>
          <w:lang w:val="en-US"/>
        </w:rPr>
      </w:pPr>
      <w:r w:rsidRPr="005F25CA">
        <w:rPr>
          <w:sz w:val="24"/>
          <w:szCs w:val="24"/>
          <w:lang w:val="en-US"/>
        </w:rPr>
        <w:t>Certain LMWHs moderately prolong APTT.</w:t>
      </w:r>
      <w:r w:rsidR="00D36A8D" w:rsidRPr="005F25CA">
        <w:rPr>
          <w:sz w:val="24"/>
          <w:szCs w:val="24"/>
          <w:lang w:val="en-US"/>
        </w:rPr>
        <w:t xml:space="preserve"> </w:t>
      </w:r>
      <w:r w:rsidRPr="005F25CA">
        <w:rPr>
          <w:sz w:val="24"/>
          <w:szCs w:val="24"/>
          <w:lang w:val="en-US"/>
        </w:rPr>
        <w:t>In the absence of any established clinical relevance, any treatment monitoring based on this test is useless.</w:t>
      </w:r>
    </w:p>
    <w:p w:rsidR="00512251" w:rsidRPr="005F25CA" w:rsidRDefault="00FC0EA5" w:rsidP="002701F5">
      <w:pPr>
        <w:pStyle w:val="41"/>
        <w:shd w:val="clear" w:color="auto" w:fill="auto"/>
        <w:spacing w:line="240" w:lineRule="auto"/>
        <w:jc w:val="both"/>
        <w:rPr>
          <w:sz w:val="24"/>
          <w:szCs w:val="24"/>
          <w:lang w:val="en-US"/>
        </w:rPr>
      </w:pPr>
      <w:r w:rsidRPr="005F25CA">
        <w:rPr>
          <w:rStyle w:val="42"/>
          <w:i/>
          <w:iCs/>
          <w:sz w:val="24"/>
          <w:szCs w:val="24"/>
          <w:lang w:val="en-US"/>
        </w:rPr>
        <w:t xml:space="preserve">Spinal/epidural </w:t>
      </w:r>
      <w:r w:rsidRPr="005F25CA">
        <w:rPr>
          <w:rStyle w:val="11"/>
          <w:sz w:val="24"/>
          <w:szCs w:val="24"/>
          <w:lang w:val="en-US"/>
        </w:rPr>
        <w:t>anesthesia</w:t>
      </w:r>
      <w:r w:rsidRPr="005F25CA">
        <w:rPr>
          <w:rStyle w:val="42"/>
          <w:i/>
          <w:iCs/>
          <w:sz w:val="24"/>
          <w:szCs w:val="24"/>
          <w:lang w:val="en-US"/>
        </w:rPr>
        <w:t xml:space="preserve"> in patients under preventive treatment with LMWH.</w:t>
      </w:r>
    </w:p>
    <w:p w:rsidR="00512251" w:rsidRPr="005F25CA" w:rsidRDefault="00FC0EA5" w:rsidP="00FD16F0">
      <w:pPr>
        <w:pStyle w:val="4"/>
        <w:numPr>
          <w:ilvl w:val="0"/>
          <w:numId w:val="21"/>
        </w:numPr>
        <w:shd w:val="clear" w:color="auto" w:fill="auto"/>
        <w:spacing w:line="240" w:lineRule="auto"/>
        <w:jc w:val="both"/>
        <w:rPr>
          <w:sz w:val="24"/>
          <w:szCs w:val="24"/>
          <w:lang w:val="en-US"/>
        </w:rPr>
      </w:pPr>
      <w:r w:rsidRPr="005F25CA">
        <w:rPr>
          <w:sz w:val="24"/>
          <w:szCs w:val="24"/>
          <w:lang w:val="en-US"/>
        </w:rPr>
        <w:t xml:space="preserve">As with other anticoagulants, rare cases of </w:t>
      </w:r>
      <w:proofErr w:type="spellStart"/>
      <w:r w:rsidRPr="005F25CA">
        <w:rPr>
          <w:sz w:val="24"/>
          <w:szCs w:val="24"/>
          <w:lang w:val="en-US"/>
        </w:rPr>
        <w:t>intraspinal</w:t>
      </w:r>
      <w:proofErr w:type="spellEnd"/>
      <w:r w:rsidRPr="005F25CA">
        <w:rPr>
          <w:sz w:val="24"/>
          <w:szCs w:val="24"/>
          <w:lang w:val="en-US"/>
        </w:rPr>
        <w:t xml:space="preserve"> </w:t>
      </w:r>
      <w:r w:rsidR="005F25CA" w:rsidRPr="005F25CA">
        <w:rPr>
          <w:sz w:val="24"/>
          <w:szCs w:val="24"/>
          <w:lang w:val="en-US"/>
        </w:rPr>
        <w:t>hematoma</w:t>
      </w:r>
      <w:r w:rsidRPr="005F25CA">
        <w:rPr>
          <w:sz w:val="24"/>
          <w:szCs w:val="24"/>
          <w:lang w:val="en-US"/>
        </w:rPr>
        <w:t xml:space="preserve"> leading to long-term or permanent paralysis have been reported during the administration of LMWH during spinal or</w:t>
      </w:r>
      <w:r w:rsidR="008273AF" w:rsidRPr="005F25CA">
        <w:rPr>
          <w:sz w:val="24"/>
          <w:szCs w:val="24"/>
          <w:lang w:val="en-US"/>
        </w:rPr>
        <w:t xml:space="preserve"> </w:t>
      </w:r>
      <w:r w:rsidRPr="005F25CA">
        <w:rPr>
          <w:sz w:val="24"/>
          <w:szCs w:val="24"/>
          <w:lang w:val="en-US"/>
        </w:rPr>
        <w:t xml:space="preserve">epidural </w:t>
      </w:r>
      <w:r w:rsidR="005F25CA" w:rsidRPr="005F25CA">
        <w:rPr>
          <w:sz w:val="24"/>
          <w:szCs w:val="24"/>
          <w:lang w:val="en-US"/>
        </w:rPr>
        <w:t>anesthesia</w:t>
      </w:r>
      <w:r w:rsidR="008273AF" w:rsidRPr="005F25CA">
        <w:rPr>
          <w:sz w:val="24"/>
          <w:szCs w:val="24"/>
          <w:lang w:val="en-US"/>
        </w:rPr>
        <w:t>.</w:t>
      </w:r>
    </w:p>
    <w:p w:rsidR="00512251" w:rsidRPr="005F25CA" w:rsidRDefault="008273AF" w:rsidP="002701F5">
      <w:pPr>
        <w:pStyle w:val="4"/>
        <w:shd w:val="clear" w:color="auto" w:fill="auto"/>
        <w:spacing w:line="240" w:lineRule="auto"/>
        <w:ind w:firstLine="0"/>
        <w:jc w:val="both"/>
        <w:rPr>
          <w:sz w:val="24"/>
          <w:szCs w:val="24"/>
          <w:lang w:val="en-US"/>
        </w:rPr>
      </w:pPr>
      <w:r w:rsidRPr="005F25CA">
        <w:rPr>
          <w:sz w:val="24"/>
          <w:szCs w:val="24"/>
          <w:lang w:val="en-US"/>
        </w:rPr>
        <w:t xml:space="preserve">The risk of </w:t>
      </w:r>
      <w:proofErr w:type="spellStart"/>
      <w:r w:rsidRPr="005F25CA">
        <w:rPr>
          <w:sz w:val="24"/>
          <w:szCs w:val="24"/>
          <w:lang w:val="en-US"/>
        </w:rPr>
        <w:t>intraspinal</w:t>
      </w:r>
      <w:proofErr w:type="spellEnd"/>
      <w:r w:rsidRPr="005F25CA">
        <w:rPr>
          <w:sz w:val="24"/>
          <w:szCs w:val="24"/>
          <w:lang w:val="en-US"/>
        </w:rPr>
        <w:t xml:space="preserve"> </w:t>
      </w:r>
      <w:r w:rsidR="005F25CA" w:rsidRPr="005F25CA">
        <w:rPr>
          <w:sz w:val="24"/>
          <w:szCs w:val="24"/>
          <w:lang w:val="en-US"/>
        </w:rPr>
        <w:t>hematoma</w:t>
      </w:r>
      <w:r w:rsidRPr="005F25CA">
        <w:rPr>
          <w:sz w:val="24"/>
          <w:szCs w:val="24"/>
          <w:lang w:val="en-US"/>
        </w:rPr>
        <w:t xml:space="preserve"> appears to be higher with an epidural </w:t>
      </w:r>
      <w:r w:rsidR="005F25CA" w:rsidRPr="005F25CA">
        <w:rPr>
          <w:sz w:val="24"/>
          <w:szCs w:val="24"/>
          <w:lang w:val="en-US"/>
        </w:rPr>
        <w:t>anesthesia</w:t>
      </w:r>
      <w:r w:rsidRPr="005F25CA">
        <w:rPr>
          <w:sz w:val="24"/>
          <w:szCs w:val="24"/>
          <w:lang w:val="en-US"/>
        </w:rPr>
        <w:t xml:space="preserve"> using a catheter than with a spinal </w:t>
      </w:r>
      <w:r w:rsidR="005F25CA" w:rsidRPr="005F25CA">
        <w:rPr>
          <w:sz w:val="24"/>
          <w:szCs w:val="24"/>
          <w:lang w:val="en-US"/>
        </w:rPr>
        <w:t>anesthesia</w:t>
      </w:r>
      <w:r w:rsidRPr="005F25CA">
        <w:rPr>
          <w:sz w:val="24"/>
          <w:szCs w:val="24"/>
          <w:lang w:val="en-US"/>
        </w:rPr>
        <w:t>.</w:t>
      </w:r>
    </w:p>
    <w:p w:rsidR="00512251" w:rsidRPr="005F25CA" w:rsidRDefault="00CE67F9" w:rsidP="002701F5">
      <w:pPr>
        <w:pStyle w:val="4"/>
        <w:shd w:val="clear" w:color="auto" w:fill="auto"/>
        <w:spacing w:line="240" w:lineRule="auto"/>
        <w:ind w:firstLine="0"/>
        <w:jc w:val="both"/>
        <w:rPr>
          <w:sz w:val="24"/>
          <w:szCs w:val="24"/>
          <w:lang w:val="en-US"/>
        </w:rPr>
      </w:pPr>
      <w:r w:rsidRPr="005F25CA">
        <w:rPr>
          <w:sz w:val="24"/>
          <w:szCs w:val="24"/>
          <w:lang w:val="en-US"/>
        </w:rPr>
        <w:t>The risk of these rare events may be increased by the prolonged use of epidural catheters after surgery.</w:t>
      </w:r>
    </w:p>
    <w:p w:rsidR="00512251" w:rsidRPr="005F25CA" w:rsidRDefault="00D35915" w:rsidP="002701F5">
      <w:pPr>
        <w:pStyle w:val="4"/>
        <w:shd w:val="clear" w:color="auto" w:fill="auto"/>
        <w:spacing w:line="240" w:lineRule="auto"/>
        <w:ind w:firstLine="0"/>
        <w:jc w:val="both"/>
        <w:rPr>
          <w:sz w:val="24"/>
          <w:szCs w:val="24"/>
          <w:lang w:val="en-US"/>
        </w:rPr>
      </w:pPr>
      <w:r w:rsidRPr="005F25CA">
        <w:rPr>
          <w:sz w:val="24"/>
          <w:szCs w:val="24"/>
          <w:lang w:val="en-US"/>
        </w:rPr>
        <w:t>Should it be decided to administer anticoagulants with epidural/spinal anesthesia, careful vigilance and frequent monitoring should be exercised to detect any signs and</w:t>
      </w:r>
      <w:r w:rsidR="005E6301" w:rsidRPr="005F25CA">
        <w:rPr>
          <w:sz w:val="24"/>
          <w:szCs w:val="24"/>
          <w:lang w:val="en-US"/>
        </w:rPr>
        <w:t xml:space="preserve"> </w:t>
      </w:r>
      <w:r w:rsidRPr="005F25CA">
        <w:rPr>
          <w:sz w:val="24"/>
          <w:szCs w:val="24"/>
          <w:lang w:val="en-US"/>
        </w:rPr>
        <w:t>symptoms of neurological impairment such as: back pain, sensory and motor deficits (numbness and</w:t>
      </w:r>
      <w:r w:rsidR="005E6301" w:rsidRPr="005F25CA">
        <w:rPr>
          <w:sz w:val="24"/>
          <w:szCs w:val="24"/>
          <w:lang w:val="en-US"/>
        </w:rPr>
        <w:t xml:space="preserve"> </w:t>
      </w:r>
      <w:r w:rsidRPr="005F25CA">
        <w:rPr>
          <w:sz w:val="24"/>
          <w:szCs w:val="24"/>
          <w:lang w:val="en-US"/>
        </w:rPr>
        <w:t>weakness of the lower limbs), bowel and/or bladder dysfunction</w:t>
      </w:r>
      <w:r w:rsidR="005E6301" w:rsidRPr="005F25CA">
        <w:rPr>
          <w:sz w:val="24"/>
          <w:szCs w:val="24"/>
          <w:lang w:val="en-US"/>
        </w:rPr>
        <w:t>.</w:t>
      </w:r>
      <w:r w:rsidR="00D36A8D" w:rsidRPr="005F25CA">
        <w:rPr>
          <w:sz w:val="24"/>
          <w:szCs w:val="24"/>
          <w:lang w:val="en-US"/>
        </w:rPr>
        <w:t xml:space="preserve"> </w:t>
      </w:r>
      <w:r w:rsidR="005E6301" w:rsidRPr="005F25CA">
        <w:rPr>
          <w:sz w:val="24"/>
          <w:szCs w:val="24"/>
          <w:lang w:val="en-US"/>
        </w:rPr>
        <w:t>Patients should be instructed to inform immediately their physician or nurse if they experience any of the above symptoms.</w:t>
      </w:r>
      <w:r w:rsidR="00D36A8D" w:rsidRPr="005F25CA">
        <w:rPr>
          <w:sz w:val="24"/>
          <w:szCs w:val="24"/>
          <w:lang w:val="en-US"/>
        </w:rPr>
        <w:t xml:space="preserve"> </w:t>
      </w:r>
      <w:r w:rsidR="005E6301" w:rsidRPr="005F25CA">
        <w:rPr>
          <w:sz w:val="24"/>
          <w:szCs w:val="24"/>
          <w:lang w:val="en-US"/>
        </w:rPr>
        <w:t xml:space="preserve">If signs or symptoms of spinal or epidural </w:t>
      </w:r>
      <w:r w:rsidR="005F25CA" w:rsidRPr="005F25CA">
        <w:rPr>
          <w:sz w:val="24"/>
          <w:szCs w:val="24"/>
          <w:lang w:val="en-US"/>
        </w:rPr>
        <w:t>hematoma</w:t>
      </w:r>
      <w:r w:rsidR="005E6301" w:rsidRPr="005F25CA">
        <w:rPr>
          <w:sz w:val="24"/>
          <w:szCs w:val="24"/>
          <w:lang w:val="en-US"/>
        </w:rPr>
        <w:t xml:space="preserve"> are suspected, urgent diagnosis and treatment </w:t>
      </w:r>
      <w:r w:rsidR="005E6301" w:rsidRPr="005F25CA">
        <w:rPr>
          <w:sz w:val="24"/>
          <w:szCs w:val="24"/>
          <w:lang w:val="en-US"/>
        </w:rPr>
        <w:lastRenderedPageBreak/>
        <w:t>including spinal cord decompression should be initiated.</w:t>
      </w:r>
    </w:p>
    <w:p w:rsidR="00512251" w:rsidRPr="005F25CA" w:rsidRDefault="005E6301" w:rsidP="00FA60F7">
      <w:pPr>
        <w:pStyle w:val="4"/>
        <w:numPr>
          <w:ilvl w:val="0"/>
          <w:numId w:val="21"/>
        </w:numPr>
        <w:shd w:val="clear" w:color="auto" w:fill="auto"/>
        <w:spacing w:line="240" w:lineRule="auto"/>
        <w:jc w:val="both"/>
        <w:rPr>
          <w:sz w:val="24"/>
          <w:szCs w:val="24"/>
          <w:lang w:val="en-US"/>
        </w:rPr>
      </w:pPr>
      <w:r w:rsidRPr="005F25CA">
        <w:rPr>
          <w:sz w:val="24"/>
          <w:szCs w:val="24"/>
          <w:lang w:val="en-US"/>
        </w:rPr>
        <w:t xml:space="preserve">If pre-surgical treatment with LMWH is necessary (prolonged bed rest, injury) and the benefit of a </w:t>
      </w:r>
      <w:proofErr w:type="spellStart"/>
      <w:r w:rsidRPr="005F25CA">
        <w:rPr>
          <w:sz w:val="24"/>
          <w:szCs w:val="24"/>
          <w:lang w:val="en-US"/>
        </w:rPr>
        <w:t>locoregional</w:t>
      </w:r>
      <w:proofErr w:type="spellEnd"/>
      <w:r w:rsidRPr="005F25CA">
        <w:rPr>
          <w:sz w:val="24"/>
          <w:szCs w:val="24"/>
          <w:lang w:val="en-US"/>
        </w:rPr>
        <w:t xml:space="preserve"> spinal </w:t>
      </w:r>
      <w:r w:rsidR="005F25CA" w:rsidRPr="005F25CA">
        <w:rPr>
          <w:sz w:val="24"/>
          <w:szCs w:val="24"/>
          <w:lang w:val="en-US"/>
        </w:rPr>
        <w:t>anesthesia</w:t>
      </w:r>
      <w:r w:rsidRPr="005F25CA">
        <w:rPr>
          <w:sz w:val="24"/>
          <w:szCs w:val="24"/>
          <w:lang w:val="en-US"/>
        </w:rPr>
        <w:t xml:space="preserve"> has been carefully evaluated, this technique may be used in a patient having received an injection of LMWH before surgery, as long as a period of at least 12 hours is left between the heparin injection and administration of the spinal </w:t>
      </w:r>
      <w:r w:rsidR="005F25CA" w:rsidRPr="005F25CA">
        <w:rPr>
          <w:sz w:val="24"/>
          <w:szCs w:val="24"/>
          <w:lang w:val="en-US"/>
        </w:rPr>
        <w:t>anesthesia</w:t>
      </w:r>
      <w:r w:rsidRPr="005F25CA">
        <w:rPr>
          <w:sz w:val="24"/>
          <w:szCs w:val="24"/>
          <w:lang w:val="en-US"/>
        </w:rPr>
        <w:t>.</w:t>
      </w:r>
    </w:p>
    <w:p w:rsidR="00512251" w:rsidRPr="005F25CA" w:rsidRDefault="005E6301" w:rsidP="002701F5">
      <w:pPr>
        <w:pStyle w:val="4"/>
        <w:shd w:val="clear" w:color="auto" w:fill="auto"/>
        <w:spacing w:line="240" w:lineRule="auto"/>
        <w:ind w:firstLine="0"/>
        <w:jc w:val="both"/>
        <w:rPr>
          <w:sz w:val="24"/>
          <w:szCs w:val="24"/>
          <w:lang w:val="en-US"/>
        </w:rPr>
      </w:pPr>
      <w:r w:rsidRPr="005F25CA">
        <w:rPr>
          <w:sz w:val="24"/>
          <w:szCs w:val="24"/>
          <w:lang w:val="en-US"/>
        </w:rPr>
        <w:t xml:space="preserve">Careful neurological monitoring is recommended due to the risk of </w:t>
      </w:r>
      <w:proofErr w:type="spellStart"/>
      <w:r w:rsidRPr="005F25CA">
        <w:rPr>
          <w:sz w:val="24"/>
          <w:szCs w:val="24"/>
          <w:lang w:val="en-US"/>
        </w:rPr>
        <w:t>intraspinal</w:t>
      </w:r>
      <w:proofErr w:type="spellEnd"/>
      <w:r w:rsidRPr="005F25CA">
        <w:rPr>
          <w:sz w:val="24"/>
          <w:szCs w:val="24"/>
          <w:lang w:val="en-US"/>
        </w:rPr>
        <w:t xml:space="preserve"> </w:t>
      </w:r>
      <w:r w:rsidR="005F25CA" w:rsidRPr="005F25CA">
        <w:rPr>
          <w:sz w:val="24"/>
          <w:szCs w:val="24"/>
          <w:lang w:val="en-US"/>
        </w:rPr>
        <w:t>hematoma</w:t>
      </w:r>
      <w:r w:rsidRPr="005F25CA">
        <w:rPr>
          <w:sz w:val="24"/>
          <w:szCs w:val="24"/>
          <w:lang w:val="en-US"/>
        </w:rPr>
        <w:t>.</w:t>
      </w:r>
    </w:p>
    <w:p w:rsidR="00512251" w:rsidRPr="005F25CA" w:rsidRDefault="005E6301" w:rsidP="002701F5">
      <w:pPr>
        <w:pStyle w:val="4"/>
        <w:shd w:val="clear" w:color="auto" w:fill="auto"/>
        <w:spacing w:line="240" w:lineRule="auto"/>
        <w:ind w:firstLine="0"/>
        <w:jc w:val="both"/>
        <w:rPr>
          <w:sz w:val="24"/>
          <w:szCs w:val="24"/>
          <w:lang w:val="en-US"/>
        </w:rPr>
      </w:pPr>
      <w:r w:rsidRPr="005F25CA">
        <w:rPr>
          <w:sz w:val="24"/>
          <w:szCs w:val="24"/>
          <w:lang w:val="en-US"/>
        </w:rPr>
        <w:t>In almost all cases, preventive treatment with LMWH can be started within 6 to 8 hours following the technique or removal of the catheter, under neurological monitoring.</w:t>
      </w:r>
    </w:p>
    <w:p w:rsidR="00512251" w:rsidRPr="005F25CA" w:rsidRDefault="005E6301" w:rsidP="002701F5">
      <w:pPr>
        <w:pStyle w:val="4"/>
        <w:shd w:val="clear" w:color="auto" w:fill="auto"/>
        <w:spacing w:line="240" w:lineRule="auto"/>
        <w:ind w:firstLine="0"/>
        <w:jc w:val="both"/>
        <w:rPr>
          <w:sz w:val="24"/>
          <w:szCs w:val="24"/>
          <w:lang w:val="en-US"/>
        </w:rPr>
      </w:pPr>
      <w:r w:rsidRPr="005F25CA">
        <w:rPr>
          <w:sz w:val="24"/>
          <w:szCs w:val="24"/>
          <w:lang w:val="en-US"/>
        </w:rPr>
        <w:t xml:space="preserve">Particular caution is required in the event of combination with other drugs interfering with </w:t>
      </w:r>
      <w:r w:rsidR="005F25CA" w:rsidRPr="005F25CA">
        <w:rPr>
          <w:sz w:val="24"/>
          <w:szCs w:val="24"/>
          <w:lang w:val="en-US"/>
        </w:rPr>
        <w:t>hemostasis</w:t>
      </w:r>
      <w:r w:rsidRPr="005F25CA">
        <w:rPr>
          <w:sz w:val="24"/>
          <w:szCs w:val="24"/>
          <w:lang w:val="en-US"/>
        </w:rPr>
        <w:t xml:space="preserve"> (non-steroidal anti-inflammatory drugs, acetylsalicylic acid).</w:t>
      </w:r>
    </w:p>
    <w:p w:rsidR="00512251" w:rsidRPr="005F25CA" w:rsidRDefault="00D6776D" w:rsidP="002701F5">
      <w:pPr>
        <w:pStyle w:val="41"/>
        <w:shd w:val="clear" w:color="auto" w:fill="auto"/>
        <w:spacing w:line="240" w:lineRule="auto"/>
        <w:jc w:val="both"/>
        <w:rPr>
          <w:sz w:val="24"/>
          <w:szCs w:val="24"/>
          <w:lang w:val="en-US"/>
        </w:rPr>
      </w:pPr>
      <w:r w:rsidRPr="005F25CA">
        <w:rPr>
          <w:rStyle w:val="11"/>
          <w:sz w:val="24"/>
          <w:szCs w:val="24"/>
          <w:lang w:val="en-US"/>
        </w:rPr>
        <w:t>Situations involving particular risk.</w:t>
      </w:r>
    </w:p>
    <w:p w:rsidR="00512251" w:rsidRPr="005F25CA" w:rsidRDefault="00D6776D"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Monitoring of treatment should be intensified in the following cases:</w:t>
      </w:r>
    </w:p>
    <w:p w:rsidR="00512251" w:rsidRPr="005F25CA" w:rsidRDefault="00D6776D" w:rsidP="00FA60F7">
      <w:pPr>
        <w:pStyle w:val="4"/>
        <w:numPr>
          <w:ilvl w:val="0"/>
          <w:numId w:val="21"/>
        </w:numPr>
        <w:shd w:val="clear" w:color="auto" w:fill="auto"/>
        <w:spacing w:line="240" w:lineRule="auto"/>
        <w:jc w:val="both"/>
        <w:rPr>
          <w:sz w:val="24"/>
          <w:szCs w:val="24"/>
          <w:lang w:val="en-US"/>
        </w:rPr>
      </w:pPr>
      <w:r w:rsidRPr="005F25CA">
        <w:rPr>
          <w:sz w:val="24"/>
          <w:szCs w:val="24"/>
          <w:lang w:val="en-US" w:eastAsia="en-US" w:bidi="en-US"/>
        </w:rPr>
        <w:t>hepatic insufficiency;</w:t>
      </w:r>
    </w:p>
    <w:p w:rsidR="00512251" w:rsidRPr="005F25CA" w:rsidRDefault="00D6776D" w:rsidP="00FA60F7">
      <w:pPr>
        <w:pStyle w:val="4"/>
        <w:numPr>
          <w:ilvl w:val="0"/>
          <w:numId w:val="21"/>
        </w:numPr>
        <w:shd w:val="clear" w:color="auto" w:fill="auto"/>
        <w:spacing w:line="240" w:lineRule="auto"/>
        <w:jc w:val="both"/>
        <w:rPr>
          <w:sz w:val="24"/>
          <w:szCs w:val="24"/>
          <w:lang w:val="en-US"/>
        </w:rPr>
      </w:pPr>
      <w:r w:rsidRPr="005F25CA">
        <w:rPr>
          <w:sz w:val="24"/>
          <w:szCs w:val="24"/>
          <w:lang w:val="en-US" w:eastAsia="en-US" w:bidi="en-US"/>
        </w:rPr>
        <w:t>gastro-intestinal ulcer or any other organic lesion likely</w:t>
      </w:r>
      <w:r w:rsidRPr="005F25CA">
        <w:rPr>
          <w:sz w:val="24"/>
          <w:szCs w:val="24"/>
          <w:lang w:val="en-US"/>
        </w:rPr>
        <w:t xml:space="preserve"> </w:t>
      </w:r>
      <w:r w:rsidRPr="005F25CA">
        <w:rPr>
          <w:sz w:val="24"/>
          <w:szCs w:val="24"/>
          <w:lang w:val="en-US" w:eastAsia="en-US" w:bidi="en-US"/>
        </w:rPr>
        <w:t>to bleed;</w:t>
      </w:r>
    </w:p>
    <w:p w:rsidR="00512251" w:rsidRPr="005F25CA" w:rsidRDefault="00D6776D" w:rsidP="00FA60F7">
      <w:pPr>
        <w:pStyle w:val="4"/>
        <w:numPr>
          <w:ilvl w:val="0"/>
          <w:numId w:val="21"/>
        </w:numPr>
        <w:shd w:val="clear" w:color="auto" w:fill="auto"/>
        <w:spacing w:line="240" w:lineRule="auto"/>
        <w:jc w:val="both"/>
        <w:rPr>
          <w:sz w:val="24"/>
          <w:szCs w:val="24"/>
          <w:lang w:val="en-US"/>
        </w:rPr>
      </w:pPr>
      <w:proofErr w:type="spellStart"/>
      <w:r w:rsidRPr="005F25CA">
        <w:rPr>
          <w:sz w:val="24"/>
          <w:szCs w:val="24"/>
          <w:lang w:val="en-US" w:eastAsia="en-US" w:bidi="en-US"/>
        </w:rPr>
        <w:t>chorioretinal</w:t>
      </w:r>
      <w:proofErr w:type="spellEnd"/>
      <w:r w:rsidRPr="005F25CA">
        <w:rPr>
          <w:sz w:val="24"/>
          <w:szCs w:val="24"/>
          <w:lang w:val="en-US" w:eastAsia="en-US" w:bidi="en-US"/>
        </w:rPr>
        <w:t xml:space="preserve"> vascular disease;</w:t>
      </w:r>
    </w:p>
    <w:p w:rsidR="00512251" w:rsidRPr="005F25CA" w:rsidRDefault="00D6776D" w:rsidP="00FA60F7">
      <w:pPr>
        <w:pStyle w:val="4"/>
        <w:numPr>
          <w:ilvl w:val="0"/>
          <w:numId w:val="21"/>
        </w:numPr>
        <w:shd w:val="clear" w:color="auto" w:fill="auto"/>
        <w:spacing w:line="240" w:lineRule="auto"/>
        <w:jc w:val="both"/>
        <w:rPr>
          <w:sz w:val="24"/>
          <w:szCs w:val="24"/>
          <w:lang w:val="en-US"/>
        </w:rPr>
      </w:pPr>
      <w:r w:rsidRPr="005F25CA">
        <w:rPr>
          <w:sz w:val="24"/>
          <w:szCs w:val="24"/>
          <w:lang w:val="en-US" w:eastAsia="en-US" w:bidi="en-US"/>
        </w:rPr>
        <w:t xml:space="preserve">post-operatively, following cerebral </w:t>
      </w:r>
      <w:r w:rsidR="00FA60F7" w:rsidRPr="005F25CA">
        <w:rPr>
          <w:sz w:val="24"/>
          <w:szCs w:val="24"/>
          <w:lang w:val="en-US" w:eastAsia="en-US" w:bidi="en-US"/>
        </w:rPr>
        <w:t>and/</w:t>
      </w:r>
      <w:r w:rsidRPr="005F25CA">
        <w:rPr>
          <w:sz w:val="24"/>
          <w:szCs w:val="24"/>
          <w:lang w:val="en-US" w:eastAsia="en-US" w:bidi="en-US"/>
        </w:rPr>
        <w:t>or spinal cord surgery;</w:t>
      </w:r>
    </w:p>
    <w:p w:rsidR="002366F6" w:rsidRPr="005F25CA" w:rsidRDefault="00FA60F7" w:rsidP="00FA60F7">
      <w:pPr>
        <w:pStyle w:val="4"/>
        <w:numPr>
          <w:ilvl w:val="0"/>
          <w:numId w:val="21"/>
        </w:numPr>
        <w:shd w:val="clear" w:color="auto" w:fill="auto"/>
        <w:spacing w:line="240" w:lineRule="auto"/>
        <w:jc w:val="both"/>
        <w:rPr>
          <w:sz w:val="24"/>
          <w:szCs w:val="24"/>
          <w:lang w:val="en-US"/>
        </w:rPr>
      </w:pPr>
      <w:r w:rsidRPr="005F25CA">
        <w:rPr>
          <w:sz w:val="24"/>
          <w:szCs w:val="24"/>
          <w:lang w:val="en-US" w:eastAsia="en-US" w:bidi="en-US"/>
        </w:rPr>
        <w:t>spinal (</w:t>
      </w:r>
      <w:r w:rsidR="00D6776D" w:rsidRPr="005F25CA">
        <w:rPr>
          <w:sz w:val="24"/>
          <w:szCs w:val="24"/>
          <w:lang w:val="en-US" w:eastAsia="en-US" w:bidi="en-US"/>
        </w:rPr>
        <w:t>lumbar</w:t>
      </w:r>
      <w:r w:rsidRPr="005F25CA">
        <w:rPr>
          <w:sz w:val="24"/>
          <w:szCs w:val="24"/>
          <w:lang w:val="en-US" w:eastAsia="en-US" w:bidi="en-US"/>
        </w:rPr>
        <w:t>)</w:t>
      </w:r>
      <w:r w:rsidR="00D6776D" w:rsidRPr="005F25CA">
        <w:rPr>
          <w:sz w:val="24"/>
          <w:szCs w:val="24"/>
          <w:lang w:val="en-US" w:eastAsia="en-US" w:bidi="en-US"/>
        </w:rPr>
        <w:t xml:space="preserve"> puncture: the performance of a lumbar puncture must be discussed, taking into account the risk of </w:t>
      </w:r>
      <w:proofErr w:type="spellStart"/>
      <w:r w:rsidR="00D6776D" w:rsidRPr="005F25CA">
        <w:rPr>
          <w:sz w:val="24"/>
          <w:szCs w:val="24"/>
          <w:lang w:val="en-US" w:eastAsia="en-US" w:bidi="en-US"/>
        </w:rPr>
        <w:t>intraspinal</w:t>
      </w:r>
      <w:proofErr w:type="spellEnd"/>
      <w:r w:rsidR="00D6776D" w:rsidRPr="005F25CA">
        <w:rPr>
          <w:sz w:val="24"/>
          <w:szCs w:val="24"/>
          <w:lang w:val="en-US" w:eastAsia="en-US" w:bidi="en-US"/>
        </w:rPr>
        <w:t xml:space="preserve"> bleeding and should be postponed whenever possible;</w:t>
      </w:r>
    </w:p>
    <w:p w:rsidR="00512251" w:rsidRPr="005F25CA" w:rsidRDefault="00D6776D" w:rsidP="00FA60F7">
      <w:pPr>
        <w:pStyle w:val="4"/>
        <w:numPr>
          <w:ilvl w:val="0"/>
          <w:numId w:val="21"/>
        </w:numPr>
        <w:shd w:val="clear" w:color="auto" w:fill="auto"/>
        <w:spacing w:line="240" w:lineRule="auto"/>
        <w:jc w:val="both"/>
        <w:rPr>
          <w:sz w:val="24"/>
          <w:szCs w:val="24"/>
          <w:lang w:val="en-US"/>
        </w:rPr>
      </w:pPr>
      <w:r w:rsidRPr="005F25CA">
        <w:rPr>
          <w:sz w:val="24"/>
          <w:szCs w:val="24"/>
          <w:lang w:val="en-US" w:eastAsia="en-US" w:bidi="en-US"/>
        </w:rPr>
        <w:t>concomitant use of medicinal products affecting hemostasis (see</w:t>
      </w:r>
      <w:r w:rsidR="00734F86" w:rsidRPr="005F25CA">
        <w:rPr>
          <w:sz w:val="24"/>
          <w:szCs w:val="24"/>
          <w:lang w:val="en-US" w:eastAsia="en-US" w:bidi="en-US"/>
        </w:rPr>
        <w:t xml:space="preserve"> </w:t>
      </w:r>
      <w:r w:rsidRPr="005F25CA">
        <w:rPr>
          <w:sz w:val="24"/>
          <w:szCs w:val="24"/>
          <w:lang w:val="en-US" w:eastAsia="en-US" w:bidi="en-US"/>
        </w:rPr>
        <w:t>Interaction with other medicinal products and other forms of interaction)</w:t>
      </w:r>
      <w:r w:rsidRPr="005F25CA">
        <w:rPr>
          <w:sz w:val="24"/>
          <w:szCs w:val="24"/>
          <w:lang w:val="en-US"/>
        </w:rPr>
        <w:t>.</w:t>
      </w:r>
    </w:p>
    <w:p w:rsidR="00512251" w:rsidRPr="005F25CA" w:rsidRDefault="00776DFF"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Although the concentrations of the various low-molecular-weight heparins are all expressed in anti-Xa international units (IU), their efficacy is not only related to their anti-Xa activity.</w:t>
      </w:r>
      <w:r w:rsidR="00D36A8D" w:rsidRPr="005F25CA">
        <w:rPr>
          <w:sz w:val="24"/>
          <w:szCs w:val="24"/>
          <w:lang w:val="en-US"/>
        </w:rPr>
        <w:t xml:space="preserve"> </w:t>
      </w:r>
      <w:r w:rsidRPr="005F25CA">
        <w:rPr>
          <w:sz w:val="24"/>
          <w:szCs w:val="24"/>
          <w:lang w:val="en-US" w:eastAsia="en-US" w:bidi="en-US"/>
        </w:rPr>
        <w:t>It would be dangerous to replace one LMWH dosage regimen by another as each regimen has been validated by specific clinical studies.</w:t>
      </w:r>
      <w:r w:rsidR="00D36A8D" w:rsidRPr="005F25CA">
        <w:rPr>
          <w:sz w:val="24"/>
          <w:szCs w:val="24"/>
          <w:lang w:val="en-US"/>
        </w:rPr>
        <w:t xml:space="preserve"> </w:t>
      </w:r>
      <w:r w:rsidRPr="005F25CA">
        <w:rPr>
          <w:sz w:val="24"/>
          <w:szCs w:val="24"/>
          <w:lang w:val="en-US" w:eastAsia="en-US" w:bidi="en-US"/>
        </w:rPr>
        <w:t>Particular care is therefore required and the specific instructions for use of each drug must be followed.</w:t>
      </w:r>
    </w:p>
    <w:p w:rsidR="00512251" w:rsidRPr="005F25CA" w:rsidRDefault="00776DFF" w:rsidP="002701F5">
      <w:pPr>
        <w:pStyle w:val="4"/>
        <w:shd w:val="clear" w:color="auto" w:fill="auto"/>
        <w:spacing w:line="240" w:lineRule="auto"/>
        <w:ind w:firstLine="0"/>
        <w:jc w:val="both"/>
        <w:rPr>
          <w:sz w:val="24"/>
          <w:szCs w:val="24"/>
          <w:lang w:val="en-US"/>
        </w:rPr>
      </w:pPr>
      <w:r w:rsidRPr="005F25CA">
        <w:rPr>
          <w:rStyle w:val="11"/>
          <w:sz w:val="24"/>
          <w:szCs w:val="24"/>
          <w:lang w:val="en-US"/>
        </w:rPr>
        <w:t>Warnings.</w:t>
      </w:r>
    </w:p>
    <w:p w:rsidR="00512251" w:rsidRPr="005F25CA" w:rsidRDefault="00776DFF" w:rsidP="002701F5">
      <w:pPr>
        <w:pStyle w:val="41"/>
        <w:shd w:val="clear" w:color="auto" w:fill="auto"/>
        <w:spacing w:line="240" w:lineRule="auto"/>
        <w:jc w:val="both"/>
        <w:rPr>
          <w:sz w:val="24"/>
          <w:szCs w:val="24"/>
          <w:lang w:val="en-US"/>
        </w:rPr>
      </w:pPr>
      <w:r w:rsidRPr="005F25CA">
        <w:rPr>
          <w:sz w:val="24"/>
          <w:szCs w:val="24"/>
          <w:u w:val="single"/>
          <w:lang w:val="en-US"/>
        </w:rPr>
        <w:t>Risk of hemorrhage.</w:t>
      </w:r>
    </w:p>
    <w:p w:rsidR="00512251" w:rsidRPr="005F25CA" w:rsidRDefault="009F6A01" w:rsidP="00734F86">
      <w:pPr>
        <w:pStyle w:val="4"/>
        <w:spacing w:line="240" w:lineRule="auto"/>
        <w:ind w:firstLine="0"/>
        <w:jc w:val="both"/>
        <w:rPr>
          <w:sz w:val="24"/>
          <w:szCs w:val="24"/>
          <w:lang w:val="en-US"/>
        </w:rPr>
      </w:pPr>
      <w:r w:rsidRPr="005F25CA">
        <w:rPr>
          <w:sz w:val="24"/>
          <w:szCs w:val="24"/>
          <w:lang w:val="en-US" w:eastAsia="en-US" w:bidi="en-US"/>
        </w:rPr>
        <w:t>The recommended dosage regimens must be respected (dosage and duration of treatment).</w:t>
      </w:r>
      <w:r w:rsidR="00D36A8D" w:rsidRPr="005F25CA">
        <w:rPr>
          <w:sz w:val="24"/>
          <w:szCs w:val="24"/>
          <w:lang w:val="en-US"/>
        </w:rPr>
        <w:t xml:space="preserve"> </w:t>
      </w:r>
      <w:r w:rsidRPr="005F25CA">
        <w:rPr>
          <w:sz w:val="24"/>
          <w:szCs w:val="24"/>
          <w:lang w:val="en-US" w:eastAsia="en-US" w:bidi="en-US"/>
        </w:rPr>
        <w:t>Failure to comply with these recommendations can lead to hemorrhage, particularly in high-risk patients (the elderly, patients with renal failure).</w:t>
      </w:r>
    </w:p>
    <w:p w:rsidR="00512251" w:rsidRPr="005F25CA" w:rsidRDefault="009F6A01" w:rsidP="00734F86">
      <w:pPr>
        <w:pStyle w:val="4"/>
        <w:shd w:val="clear" w:color="auto" w:fill="auto"/>
        <w:spacing w:line="240" w:lineRule="auto"/>
        <w:ind w:firstLine="0"/>
        <w:jc w:val="both"/>
        <w:rPr>
          <w:sz w:val="24"/>
          <w:szCs w:val="24"/>
          <w:lang w:val="en-US"/>
        </w:rPr>
      </w:pPr>
      <w:r w:rsidRPr="005F25CA">
        <w:rPr>
          <w:sz w:val="24"/>
          <w:szCs w:val="24"/>
          <w:lang w:val="en-US" w:eastAsia="en-US" w:bidi="en-US"/>
        </w:rPr>
        <w:t>Serious hemorrhagic events have been reported in the following situations:</w:t>
      </w:r>
    </w:p>
    <w:p w:rsidR="00512251" w:rsidRPr="005F25CA" w:rsidRDefault="00B668A7" w:rsidP="002908D4">
      <w:pPr>
        <w:pStyle w:val="4"/>
        <w:numPr>
          <w:ilvl w:val="0"/>
          <w:numId w:val="22"/>
        </w:numPr>
        <w:shd w:val="clear" w:color="auto" w:fill="auto"/>
        <w:spacing w:line="240" w:lineRule="auto"/>
        <w:jc w:val="both"/>
        <w:rPr>
          <w:sz w:val="24"/>
          <w:szCs w:val="24"/>
          <w:lang w:val="en-US"/>
        </w:rPr>
      </w:pPr>
      <w:r w:rsidRPr="005F25CA">
        <w:rPr>
          <w:sz w:val="24"/>
          <w:szCs w:val="24"/>
          <w:lang w:val="en-US" w:eastAsia="en-US" w:bidi="en-US"/>
        </w:rPr>
        <w:t>elderly subjects, particularly due to age-related renal impairment;</w:t>
      </w:r>
    </w:p>
    <w:p w:rsidR="00512251" w:rsidRPr="005F25CA" w:rsidRDefault="00911CE2" w:rsidP="002908D4">
      <w:pPr>
        <w:pStyle w:val="4"/>
        <w:numPr>
          <w:ilvl w:val="0"/>
          <w:numId w:val="22"/>
        </w:numPr>
        <w:shd w:val="clear" w:color="auto" w:fill="auto"/>
        <w:spacing w:line="240" w:lineRule="auto"/>
        <w:jc w:val="both"/>
        <w:rPr>
          <w:sz w:val="24"/>
          <w:szCs w:val="24"/>
          <w:lang w:val="en-US"/>
        </w:rPr>
      </w:pPr>
      <w:r w:rsidRPr="005F25CA">
        <w:rPr>
          <w:sz w:val="24"/>
          <w:szCs w:val="24"/>
          <w:lang w:val="en-US" w:eastAsia="en-US" w:bidi="en-US"/>
        </w:rPr>
        <w:t>patients with</w:t>
      </w:r>
      <w:r w:rsidRPr="005F25CA">
        <w:rPr>
          <w:sz w:val="24"/>
          <w:szCs w:val="24"/>
          <w:lang w:val="en-US"/>
        </w:rPr>
        <w:t xml:space="preserve"> </w:t>
      </w:r>
      <w:r w:rsidRPr="005F25CA">
        <w:rPr>
          <w:sz w:val="24"/>
          <w:szCs w:val="24"/>
          <w:lang w:val="en-US" w:eastAsia="en-US" w:bidi="en-US"/>
        </w:rPr>
        <w:t>renal failure;</w:t>
      </w:r>
    </w:p>
    <w:p w:rsidR="00512251" w:rsidRPr="005F25CA" w:rsidRDefault="00F1134B" w:rsidP="002908D4">
      <w:pPr>
        <w:pStyle w:val="4"/>
        <w:numPr>
          <w:ilvl w:val="0"/>
          <w:numId w:val="22"/>
        </w:numPr>
        <w:shd w:val="clear" w:color="auto" w:fill="auto"/>
        <w:spacing w:line="240" w:lineRule="auto"/>
        <w:jc w:val="both"/>
        <w:rPr>
          <w:sz w:val="24"/>
          <w:szCs w:val="24"/>
          <w:lang w:val="en-US"/>
        </w:rPr>
      </w:pPr>
      <w:r w:rsidRPr="005F25CA">
        <w:rPr>
          <w:sz w:val="24"/>
          <w:szCs w:val="24"/>
          <w:lang w:val="en-US"/>
        </w:rPr>
        <w:t>bodyweight under 40 kg;</w:t>
      </w:r>
    </w:p>
    <w:p w:rsidR="00512251" w:rsidRPr="005F25CA" w:rsidRDefault="00F1134B" w:rsidP="002908D4">
      <w:pPr>
        <w:pStyle w:val="4"/>
        <w:numPr>
          <w:ilvl w:val="0"/>
          <w:numId w:val="22"/>
        </w:numPr>
        <w:shd w:val="clear" w:color="auto" w:fill="auto"/>
        <w:spacing w:line="240" w:lineRule="auto"/>
        <w:jc w:val="both"/>
        <w:rPr>
          <w:sz w:val="24"/>
          <w:szCs w:val="24"/>
          <w:lang w:val="en-US"/>
        </w:rPr>
      </w:pPr>
      <w:r w:rsidRPr="005F25CA">
        <w:rPr>
          <w:sz w:val="24"/>
          <w:szCs w:val="24"/>
          <w:lang w:val="en-US"/>
        </w:rPr>
        <w:t>if treatment prolonged beyond the recommended mean duration of 10 days;</w:t>
      </w:r>
    </w:p>
    <w:p w:rsidR="00512251" w:rsidRPr="005F25CA" w:rsidRDefault="00F1134B" w:rsidP="002908D4">
      <w:pPr>
        <w:pStyle w:val="4"/>
        <w:numPr>
          <w:ilvl w:val="0"/>
          <w:numId w:val="22"/>
        </w:numPr>
        <w:shd w:val="clear" w:color="auto" w:fill="auto"/>
        <w:spacing w:line="240" w:lineRule="auto"/>
        <w:jc w:val="both"/>
        <w:rPr>
          <w:sz w:val="24"/>
          <w:szCs w:val="24"/>
          <w:lang w:val="en-US"/>
        </w:rPr>
      </w:pPr>
      <w:r w:rsidRPr="005F25CA">
        <w:rPr>
          <w:sz w:val="24"/>
          <w:szCs w:val="24"/>
          <w:lang w:val="en-US"/>
        </w:rPr>
        <w:t>in non-compliance with the recommended treatment conditions (in particular treatment duration and dosage adjustment on the basis of weight for curative treatments);</w:t>
      </w:r>
    </w:p>
    <w:p w:rsidR="00512251" w:rsidRPr="005F25CA" w:rsidRDefault="00F1134B" w:rsidP="002908D4">
      <w:pPr>
        <w:pStyle w:val="4"/>
        <w:numPr>
          <w:ilvl w:val="0"/>
          <w:numId w:val="22"/>
        </w:numPr>
        <w:shd w:val="clear" w:color="auto" w:fill="auto"/>
        <w:spacing w:line="240" w:lineRule="auto"/>
        <w:jc w:val="both"/>
        <w:rPr>
          <w:sz w:val="24"/>
          <w:szCs w:val="24"/>
          <w:lang w:val="en-US"/>
        </w:rPr>
      </w:pPr>
      <w:r w:rsidRPr="005F25CA">
        <w:rPr>
          <w:sz w:val="24"/>
          <w:szCs w:val="24"/>
          <w:lang w:val="en-US"/>
        </w:rPr>
        <w:t>concomitant use of other medicinal products (see</w:t>
      </w:r>
      <w:r w:rsidR="00007BB7" w:rsidRPr="005F25CA">
        <w:rPr>
          <w:sz w:val="24"/>
          <w:szCs w:val="24"/>
          <w:lang w:val="en-US"/>
        </w:rPr>
        <w:t xml:space="preserve"> </w:t>
      </w:r>
      <w:r w:rsidRPr="005F25CA">
        <w:rPr>
          <w:sz w:val="24"/>
          <w:szCs w:val="24"/>
          <w:lang w:val="en-US"/>
        </w:rPr>
        <w:t>Interaction with other medicinal products and other forms of interaction).</w:t>
      </w:r>
    </w:p>
    <w:p w:rsidR="00512251" w:rsidRPr="005F25CA" w:rsidRDefault="002173F4" w:rsidP="00734F86">
      <w:pPr>
        <w:pStyle w:val="4"/>
        <w:shd w:val="clear" w:color="auto" w:fill="auto"/>
        <w:spacing w:line="240" w:lineRule="auto"/>
        <w:ind w:firstLine="0"/>
        <w:jc w:val="both"/>
        <w:rPr>
          <w:sz w:val="24"/>
          <w:szCs w:val="24"/>
          <w:lang w:val="en-US"/>
        </w:rPr>
      </w:pPr>
      <w:r w:rsidRPr="005F25CA">
        <w:rPr>
          <w:sz w:val="24"/>
          <w:szCs w:val="24"/>
          <w:lang w:val="en-US"/>
        </w:rPr>
        <w:t xml:space="preserve">Like any other anticoagulant, </w:t>
      </w:r>
      <w:r w:rsidR="005F25CA" w:rsidRPr="005F25CA">
        <w:rPr>
          <w:sz w:val="24"/>
          <w:szCs w:val="24"/>
          <w:lang w:val="en-US"/>
        </w:rPr>
        <w:t>enoxaparin</w:t>
      </w:r>
      <w:r w:rsidRPr="005F25CA">
        <w:rPr>
          <w:sz w:val="24"/>
          <w:szCs w:val="24"/>
          <w:lang w:val="en-US"/>
        </w:rPr>
        <w:t xml:space="preserve"> injections should be used with caution in conditions with increased risk of </w:t>
      </w:r>
      <w:r w:rsidR="005F25CA" w:rsidRPr="005F25CA">
        <w:rPr>
          <w:sz w:val="24"/>
          <w:szCs w:val="24"/>
          <w:lang w:val="en-US"/>
        </w:rPr>
        <w:t>hemorrhage</w:t>
      </w:r>
      <w:r w:rsidRPr="005F25CA">
        <w:rPr>
          <w:sz w:val="24"/>
          <w:szCs w:val="24"/>
          <w:lang w:val="en-US"/>
        </w:rPr>
        <w:t xml:space="preserve">, such as hemostatic disorders, history of </w:t>
      </w:r>
      <w:r w:rsidR="00BD3443" w:rsidRPr="005F25CA">
        <w:rPr>
          <w:sz w:val="24"/>
          <w:szCs w:val="24"/>
          <w:lang w:val="en-US"/>
        </w:rPr>
        <w:t xml:space="preserve">peptic </w:t>
      </w:r>
      <w:r w:rsidRPr="005F25CA">
        <w:rPr>
          <w:sz w:val="24"/>
          <w:szCs w:val="24"/>
          <w:lang w:val="en-US"/>
        </w:rPr>
        <w:t>ulcer, recent ischemic stroke, uncontrolled hypertension, diabetic retinopathy, recent neurosurgical or ophthalmological</w:t>
      </w:r>
      <w:r w:rsidR="001D2D40" w:rsidRPr="005F25CA">
        <w:rPr>
          <w:sz w:val="24"/>
          <w:szCs w:val="24"/>
          <w:lang w:val="en-US"/>
        </w:rPr>
        <w:t xml:space="preserve"> surgery</w:t>
      </w:r>
      <w:r w:rsidRPr="005F25CA">
        <w:rPr>
          <w:sz w:val="24"/>
          <w:szCs w:val="24"/>
          <w:lang w:val="en-US"/>
        </w:rPr>
        <w:t>.</w:t>
      </w:r>
    </w:p>
    <w:p w:rsidR="00512251" w:rsidRPr="005F25CA" w:rsidRDefault="002173F4"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In any event, special monitoring is essential in the elderly and/or patients with renal failure, as well as during treatment prolonged beyond ten days.</w:t>
      </w:r>
    </w:p>
    <w:p w:rsidR="00512251" w:rsidRPr="005F25CA" w:rsidRDefault="002173F4"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Tests for anti-Xa activity may in certain cases be useful to detect drug accumulation (see Special warnings and special precautions for use).</w:t>
      </w:r>
    </w:p>
    <w:p w:rsidR="00512251" w:rsidRPr="005F25CA" w:rsidRDefault="00E26D4A" w:rsidP="002701F5">
      <w:pPr>
        <w:pStyle w:val="41"/>
        <w:shd w:val="clear" w:color="auto" w:fill="auto"/>
        <w:spacing w:line="240" w:lineRule="auto"/>
        <w:jc w:val="both"/>
        <w:rPr>
          <w:sz w:val="24"/>
          <w:szCs w:val="24"/>
          <w:lang w:val="en-US"/>
        </w:rPr>
      </w:pPr>
      <w:r w:rsidRPr="005F25CA">
        <w:rPr>
          <w:sz w:val="24"/>
          <w:szCs w:val="24"/>
          <w:u w:val="single"/>
          <w:lang w:val="en-US"/>
        </w:rPr>
        <w:t>Risk of heparin-induced thrombocytopenia (HIT):</w:t>
      </w:r>
    </w:p>
    <w:p w:rsidR="00512251" w:rsidRPr="005F25CA" w:rsidRDefault="005F25CA"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Should a patient treated with LMWH (at curative or preventive doses) develop thrombotic </w:t>
      </w:r>
      <w:r w:rsidRPr="005F25CA">
        <w:rPr>
          <w:sz w:val="24"/>
          <w:szCs w:val="24"/>
          <w:lang w:val="en-US" w:eastAsia="en-US" w:bidi="en-US"/>
        </w:rPr>
        <w:lastRenderedPageBreak/>
        <w:t>complications</w:t>
      </w:r>
      <w:r>
        <w:rPr>
          <w:sz w:val="24"/>
          <w:szCs w:val="24"/>
          <w:lang w:val="en-US" w:eastAsia="en-US" w:bidi="en-US"/>
        </w:rPr>
        <w:t>:</w:t>
      </w:r>
    </w:p>
    <w:p w:rsidR="00512251" w:rsidRPr="005F25CA" w:rsidRDefault="00E0281F" w:rsidP="00204AEF">
      <w:pPr>
        <w:pStyle w:val="4"/>
        <w:numPr>
          <w:ilvl w:val="0"/>
          <w:numId w:val="23"/>
        </w:numPr>
        <w:shd w:val="clear" w:color="auto" w:fill="auto"/>
        <w:spacing w:line="240" w:lineRule="auto"/>
        <w:jc w:val="both"/>
        <w:rPr>
          <w:sz w:val="24"/>
          <w:szCs w:val="24"/>
          <w:lang w:val="en-US"/>
        </w:rPr>
      </w:pPr>
      <w:r w:rsidRPr="005F25CA">
        <w:rPr>
          <w:sz w:val="24"/>
          <w:szCs w:val="24"/>
          <w:lang w:val="en-US" w:eastAsia="en-US" w:bidi="en-US"/>
        </w:rPr>
        <w:t>exacerbation of the thrombosis being treated;</w:t>
      </w:r>
    </w:p>
    <w:p w:rsidR="00512251" w:rsidRPr="005F25CA" w:rsidRDefault="00E0281F" w:rsidP="00204AEF">
      <w:pPr>
        <w:pStyle w:val="4"/>
        <w:numPr>
          <w:ilvl w:val="0"/>
          <w:numId w:val="23"/>
        </w:numPr>
        <w:shd w:val="clear" w:color="auto" w:fill="auto"/>
        <w:spacing w:line="240" w:lineRule="auto"/>
        <w:jc w:val="both"/>
        <w:rPr>
          <w:sz w:val="24"/>
          <w:szCs w:val="24"/>
          <w:lang w:val="en-US"/>
        </w:rPr>
      </w:pPr>
      <w:r w:rsidRPr="005F25CA">
        <w:rPr>
          <w:sz w:val="24"/>
          <w:szCs w:val="24"/>
          <w:lang w:val="en-US" w:eastAsia="en-US" w:bidi="en-US"/>
        </w:rPr>
        <w:t>phlebitis;</w:t>
      </w:r>
    </w:p>
    <w:p w:rsidR="00512251" w:rsidRPr="005F25CA" w:rsidRDefault="00E0281F" w:rsidP="00204AEF">
      <w:pPr>
        <w:pStyle w:val="4"/>
        <w:numPr>
          <w:ilvl w:val="0"/>
          <w:numId w:val="23"/>
        </w:numPr>
        <w:shd w:val="clear" w:color="auto" w:fill="auto"/>
        <w:spacing w:line="240" w:lineRule="auto"/>
        <w:jc w:val="both"/>
        <w:rPr>
          <w:sz w:val="24"/>
          <w:szCs w:val="24"/>
          <w:lang w:val="en-US"/>
        </w:rPr>
      </w:pPr>
      <w:r w:rsidRPr="005F25CA">
        <w:rPr>
          <w:sz w:val="24"/>
          <w:szCs w:val="24"/>
          <w:lang w:val="en-US" w:eastAsia="en-US" w:bidi="en-US"/>
        </w:rPr>
        <w:t>pulmonary embolism;</w:t>
      </w:r>
    </w:p>
    <w:p w:rsidR="00512251" w:rsidRPr="005F25CA" w:rsidRDefault="00E0281F" w:rsidP="00204AEF">
      <w:pPr>
        <w:pStyle w:val="4"/>
        <w:numPr>
          <w:ilvl w:val="0"/>
          <w:numId w:val="23"/>
        </w:numPr>
        <w:shd w:val="clear" w:color="auto" w:fill="auto"/>
        <w:spacing w:line="240" w:lineRule="auto"/>
        <w:jc w:val="both"/>
        <w:rPr>
          <w:sz w:val="24"/>
          <w:szCs w:val="24"/>
          <w:lang w:val="en-US"/>
        </w:rPr>
      </w:pPr>
      <w:r w:rsidRPr="005F25CA">
        <w:rPr>
          <w:sz w:val="24"/>
          <w:szCs w:val="24"/>
          <w:lang w:val="en-US" w:eastAsia="en-US" w:bidi="en-US"/>
        </w:rPr>
        <w:t>acute ischemia of the lower limbs;</w:t>
      </w:r>
    </w:p>
    <w:p w:rsidR="00512251" w:rsidRPr="005F25CA" w:rsidRDefault="00E0281F" w:rsidP="00204AEF">
      <w:pPr>
        <w:pStyle w:val="4"/>
        <w:numPr>
          <w:ilvl w:val="0"/>
          <w:numId w:val="23"/>
        </w:numPr>
        <w:shd w:val="clear" w:color="auto" w:fill="auto"/>
        <w:spacing w:line="240" w:lineRule="auto"/>
        <w:jc w:val="both"/>
        <w:rPr>
          <w:sz w:val="24"/>
          <w:szCs w:val="24"/>
          <w:lang w:val="en-US"/>
        </w:rPr>
      </w:pPr>
      <w:r w:rsidRPr="005F25CA">
        <w:rPr>
          <w:sz w:val="24"/>
          <w:szCs w:val="24"/>
          <w:lang w:val="en-US" w:eastAsia="en-US" w:bidi="en-US"/>
        </w:rPr>
        <w:t>or even myocardial infarction or ischemic stroke,</w:t>
      </w:r>
    </w:p>
    <w:p w:rsidR="00512251" w:rsidRPr="005F25CA" w:rsidRDefault="00E0281F"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HIT should systematically be suspected and a platelet count performed urgently (see Special warnings and special precautions for use).</w:t>
      </w:r>
    </w:p>
    <w:p w:rsidR="00512251" w:rsidRPr="005F25CA" w:rsidRDefault="00E0281F" w:rsidP="002701F5">
      <w:pPr>
        <w:pStyle w:val="41"/>
        <w:shd w:val="clear" w:color="auto" w:fill="auto"/>
        <w:spacing w:line="240" w:lineRule="auto"/>
        <w:jc w:val="both"/>
        <w:rPr>
          <w:sz w:val="24"/>
          <w:szCs w:val="24"/>
          <w:lang w:val="en-US"/>
        </w:rPr>
      </w:pPr>
      <w:r w:rsidRPr="005F25CA">
        <w:rPr>
          <w:rStyle w:val="11"/>
          <w:sz w:val="24"/>
          <w:szCs w:val="24"/>
          <w:lang w:val="en-US"/>
        </w:rPr>
        <w:t>Coronary angioplasty revascularization procedures.</w:t>
      </w:r>
    </w:p>
    <w:p w:rsidR="00512251" w:rsidRPr="005F25CA" w:rsidRDefault="00043F0E" w:rsidP="00292A17">
      <w:pPr>
        <w:pStyle w:val="4"/>
        <w:shd w:val="clear" w:color="auto" w:fill="auto"/>
        <w:spacing w:line="240" w:lineRule="auto"/>
        <w:ind w:firstLine="0"/>
        <w:jc w:val="both"/>
        <w:rPr>
          <w:sz w:val="24"/>
          <w:szCs w:val="24"/>
          <w:lang w:val="en-US"/>
        </w:rPr>
      </w:pPr>
      <w:r w:rsidRPr="005F25CA">
        <w:rPr>
          <w:sz w:val="24"/>
          <w:szCs w:val="24"/>
          <w:lang w:val="en-US" w:eastAsia="en-US" w:bidi="en-US"/>
        </w:rPr>
        <w:t>To minimize the risk of hemorrhage during coronary angioplasty for unstable angina, non-Q-wave myocardial infarction and acute ST-segment elevation myocardial infarction, it is recommended that the advised intervals between enoxaparin injections be strictly complied with.</w:t>
      </w:r>
      <w:r w:rsidR="00D36A8D" w:rsidRPr="005F25CA">
        <w:rPr>
          <w:sz w:val="24"/>
          <w:szCs w:val="24"/>
          <w:lang w:val="en-US"/>
        </w:rPr>
        <w:t xml:space="preserve"> </w:t>
      </w:r>
      <w:r w:rsidRPr="005F25CA">
        <w:rPr>
          <w:sz w:val="24"/>
          <w:szCs w:val="24"/>
          <w:lang w:val="en-US" w:eastAsia="en-US" w:bidi="en-US"/>
        </w:rPr>
        <w:t>It is important to achieve hemostasis at the vascular puncture site following coronary angioplasty.</w:t>
      </w:r>
      <w:r w:rsidR="00D36A8D" w:rsidRPr="005F25CA">
        <w:rPr>
          <w:sz w:val="24"/>
          <w:szCs w:val="24"/>
          <w:lang w:val="en-US"/>
        </w:rPr>
        <w:t xml:space="preserve"> </w:t>
      </w:r>
      <w:r w:rsidRPr="005F25CA">
        <w:rPr>
          <w:sz w:val="24"/>
          <w:szCs w:val="24"/>
          <w:lang w:val="en-US" w:eastAsia="en-US" w:bidi="en-US"/>
        </w:rPr>
        <w:t xml:space="preserve">If an occlusion device </w:t>
      </w:r>
      <w:r w:rsidR="00EF020F" w:rsidRPr="005F25CA">
        <w:rPr>
          <w:sz w:val="24"/>
          <w:szCs w:val="24"/>
          <w:lang w:val="en-US" w:eastAsia="en-US" w:bidi="en-US"/>
        </w:rPr>
        <w:t xml:space="preserve">(hemostatic device) </w:t>
      </w:r>
      <w:r w:rsidRPr="005F25CA">
        <w:rPr>
          <w:sz w:val="24"/>
          <w:szCs w:val="24"/>
          <w:lang w:val="en-US" w:eastAsia="en-US" w:bidi="en-US"/>
        </w:rPr>
        <w:t>is used, the introducer can be removed immediately.</w:t>
      </w:r>
      <w:r w:rsidR="00D36A8D" w:rsidRPr="005F25CA">
        <w:rPr>
          <w:sz w:val="24"/>
          <w:szCs w:val="24"/>
          <w:lang w:val="en-US"/>
        </w:rPr>
        <w:t xml:space="preserve"> </w:t>
      </w:r>
      <w:r w:rsidR="00EF020F" w:rsidRPr="005F25CA">
        <w:rPr>
          <w:sz w:val="24"/>
          <w:szCs w:val="24"/>
          <w:lang w:val="en-US" w:eastAsia="en-US" w:bidi="en-US"/>
        </w:rPr>
        <w:t>If manual compression is performed, the introducer must be removed 6 hours after the last subcutaneous/intravenous injection of enoxaparin.</w:t>
      </w:r>
      <w:r w:rsidR="00D36A8D" w:rsidRPr="005F25CA">
        <w:rPr>
          <w:sz w:val="24"/>
          <w:szCs w:val="24"/>
          <w:lang w:val="en-US"/>
        </w:rPr>
        <w:t xml:space="preserve"> </w:t>
      </w:r>
      <w:r w:rsidR="00EF020F" w:rsidRPr="005F25CA">
        <w:rPr>
          <w:sz w:val="24"/>
          <w:szCs w:val="24"/>
          <w:lang w:val="en-US" w:eastAsia="en-US" w:bidi="en-US"/>
        </w:rPr>
        <w:t>If enoxaparin treatment is continued, the following injection must be performed at the earliest 6 to 8 hours after removal of the introducer.</w:t>
      </w:r>
      <w:r w:rsidR="00D36A8D" w:rsidRPr="005F25CA">
        <w:rPr>
          <w:sz w:val="24"/>
          <w:szCs w:val="24"/>
          <w:lang w:val="en-US"/>
        </w:rPr>
        <w:t xml:space="preserve"> </w:t>
      </w:r>
      <w:r w:rsidR="00EF020F" w:rsidRPr="005F25CA">
        <w:rPr>
          <w:sz w:val="24"/>
          <w:szCs w:val="24"/>
          <w:lang w:val="en-US" w:eastAsia="en-US" w:bidi="en-US"/>
        </w:rPr>
        <w:t>The puncture site must be monitored to detect any signs of bleeding or hematoma.</w:t>
      </w:r>
      <w:r w:rsidR="00D36A8D" w:rsidRPr="005F25CA">
        <w:rPr>
          <w:sz w:val="24"/>
          <w:szCs w:val="24"/>
          <w:lang w:val="en-US"/>
        </w:rPr>
        <w:t xml:space="preserve"> </w:t>
      </w:r>
      <w:r w:rsidR="00EF020F" w:rsidRPr="005F25CA">
        <w:rPr>
          <w:rFonts w:eastAsia="Trebuchet MS"/>
          <w:i/>
          <w:iCs/>
          <w:sz w:val="24"/>
          <w:szCs w:val="24"/>
          <w:u w:val="single"/>
          <w:lang w:val="en-US"/>
        </w:rPr>
        <w:t>Mechanical prosthetic heart valves.</w:t>
      </w:r>
    </w:p>
    <w:p w:rsidR="00512251" w:rsidRPr="005F25CA" w:rsidRDefault="00EF020F" w:rsidP="00292A17">
      <w:pPr>
        <w:pStyle w:val="4"/>
        <w:shd w:val="clear" w:color="auto" w:fill="auto"/>
        <w:spacing w:line="240" w:lineRule="auto"/>
        <w:ind w:firstLine="0"/>
        <w:jc w:val="both"/>
        <w:rPr>
          <w:sz w:val="24"/>
          <w:szCs w:val="24"/>
          <w:lang w:val="en-US"/>
        </w:rPr>
      </w:pPr>
      <w:r w:rsidRPr="005F25CA">
        <w:rPr>
          <w:sz w:val="24"/>
          <w:szCs w:val="24"/>
          <w:lang w:val="en-US" w:eastAsia="en-US" w:bidi="en-US"/>
        </w:rPr>
        <w:t>The use of enoxaparin in the prevention of thromboembolic events in patients with mechanical prosthetic heart valves has not been specifically investigated.</w:t>
      </w:r>
    </w:p>
    <w:p w:rsidR="00292A17" w:rsidRPr="005F25CA" w:rsidRDefault="00EF020F" w:rsidP="00292A17">
      <w:pPr>
        <w:pStyle w:val="4"/>
        <w:shd w:val="clear" w:color="auto" w:fill="auto"/>
        <w:spacing w:line="240" w:lineRule="auto"/>
        <w:ind w:firstLine="0"/>
        <w:jc w:val="both"/>
        <w:rPr>
          <w:sz w:val="24"/>
          <w:szCs w:val="24"/>
          <w:lang w:val="en-US"/>
        </w:rPr>
      </w:pPr>
      <w:r w:rsidRPr="005F25CA">
        <w:rPr>
          <w:sz w:val="24"/>
          <w:szCs w:val="24"/>
          <w:lang w:val="en-US" w:eastAsia="en-US" w:bidi="en-US"/>
        </w:rPr>
        <w:t>However, some isolated cases of thrombosis have been reported in patients with this device who received enoxaparin as prophylactic treatment of thromboembolic events.</w:t>
      </w:r>
      <w:r w:rsidR="00D36A8D" w:rsidRPr="005F25CA">
        <w:rPr>
          <w:sz w:val="24"/>
          <w:szCs w:val="24"/>
          <w:lang w:val="en-US"/>
        </w:rPr>
        <w:t xml:space="preserve"> </w:t>
      </w:r>
    </w:p>
    <w:p w:rsidR="00512251" w:rsidRPr="005F25CA" w:rsidRDefault="00EF020F" w:rsidP="00292A17">
      <w:pPr>
        <w:pStyle w:val="4"/>
        <w:shd w:val="clear" w:color="auto" w:fill="auto"/>
        <w:spacing w:line="240" w:lineRule="auto"/>
        <w:ind w:firstLine="0"/>
        <w:jc w:val="both"/>
        <w:rPr>
          <w:sz w:val="24"/>
          <w:szCs w:val="24"/>
          <w:lang w:val="en-US"/>
        </w:rPr>
      </w:pPr>
      <w:r w:rsidRPr="005F25CA">
        <w:rPr>
          <w:rFonts w:eastAsia="Trebuchet MS"/>
          <w:i/>
          <w:iCs/>
          <w:sz w:val="24"/>
          <w:szCs w:val="24"/>
          <w:u w:val="single"/>
          <w:lang w:val="en-US"/>
        </w:rPr>
        <w:t>Pregnant women</w:t>
      </w:r>
      <w:r w:rsidRPr="005F25CA">
        <w:rPr>
          <w:rFonts w:eastAsia="Trebuchet MS"/>
          <w:i/>
          <w:iCs/>
          <w:sz w:val="24"/>
          <w:szCs w:val="24"/>
          <w:lang w:val="en-US"/>
        </w:rPr>
        <w:t>.</w:t>
      </w:r>
    </w:p>
    <w:p w:rsidR="00B506BF" w:rsidRPr="005F25CA" w:rsidRDefault="00EF020F" w:rsidP="00292A17">
      <w:pPr>
        <w:pStyle w:val="4"/>
        <w:shd w:val="clear" w:color="auto" w:fill="auto"/>
        <w:spacing w:line="240" w:lineRule="auto"/>
        <w:ind w:firstLine="0"/>
        <w:jc w:val="both"/>
        <w:rPr>
          <w:sz w:val="24"/>
          <w:szCs w:val="24"/>
          <w:lang w:val="en-US"/>
        </w:rPr>
      </w:pPr>
      <w:r w:rsidRPr="005F25CA">
        <w:rPr>
          <w:sz w:val="24"/>
          <w:szCs w:val="24"/>
          <w:lang w:val="en-US" w:eastAsia="en-US" w:bidi="en-US"/>
        </w:rPr>
        <w:t>During a clinical study in pregnant women with mechanical prosthetic heart valves receiving 100 anti-Xa IU/kg bodyweight of enoxaparin twice daily to reduce the risk of thromboembolic events, two of eighth women developed thrombosis which led to an obstructed valve with fatal outcome for both the woman and the fetus.</w:t>
      </w:r>
      <w:r w:rsidR="00D36A8D" w:rsidRPr="005F25CA">
        <w:rPr>
          <w:sz w:val="24"/>
          <w:szCs w:val="24"/>
          <w:lang w:val="en-US"/>
        </w:rPr>
        <w:t xml:space="preserve"> </w:t>
      </w:r>
      <w:r w:rsidRPr="005F25CA">
        <w:rPr>
          <w:sz w:val="24"/>
          <w:szCs w:val="24"/>
          <w:lang w:val="en-US" w:eastAsia="en-US" w:bidi="en-US"/>
        </w:rPr>
        <w:t>In addition, other isolated post-marketing cases of thrombosis have been reported in pregnant women with mechanical prosthetic heart valves who received thromboembolic prophylaxis with enoxaparin.</w:t>
      </w:r>
      <w:r w:rsidR="00D36A8D" w:rsidRPr="005F25CA">
        <w:rPr>
          <w:sz w:val="24"/>
          <w:szCs w:val="24"/>
          <w:lang w:val="en-US"/>
        </w:rPr>
        <w:t xml:space="preserve"> </w:t>
      </w:r>
      <w:r w:rsidR="00384648" w:rsidRPr="005F25CA">
        <w:rPr>
          <w:sz w:val="24"/>
          <w:szCs w:val="24"/>
          <w:lang w:val="en-US" w:eastAsia="en-US" w:bidi="en-US"/>
        </w:rPr>
        <w:t>Therefore, the risk of thromboembolic events in this population might be higher.</w:t>
      </w:r>
      <w:r w:rsidR="00D36A8D" w:rsidRPr="005F25CA">
        <w:rPr>
          <w:sz w:val="24"/>
          <w:szCs w:val="24"/>
          <w:lang w:val="en-US"/>
        </w:rPr>
        <w:t xml:space="preserve"> </w:t>
      </w:r>
    </w:p>
    <w:p w:rsidR="00512251" w:rsidRPr="005F25CA" w:rsidRDefault="00384648" w:rsidP="00292A17">
      <w:pPr>
        <w:pStyle w:val="4"/>
        <w:shd w:val="clear" w:color="auto" w:fill="auto"/>
        <w:spacing w:line="240" w:lineRule="auto"/>
        <w:ind w:firstLine="0"/>
        <w:jc w:val="both"/>
        <w:rPr>
          <w:sz w:val="24"/>
          <w:szCs w:val="24"/>
          <w:lang w:val="en-US"/>
        </w:rPr>
      </w:pPr>
      <w:r w:rsidRPr="005F25CA">
        <w:rPr>
          <w:rStyle w:val="a9"/>
          <w:sz w:val="24"/>
          <w:szCs w:val="24"/>
          <w:lang w:val="en-US"/>
        </w:rPr>
        <w:t>Hemorrhage in</w:t>
      </w:r>
      <w:r w:rsidRPr="005F25CA">
        <w:rPr>
          <w:rStyle w:val="11"/>
          <w:sz w:val="24"/>
          <w:szCs w:val="24"/>
          <w:lang w:val="en-US"/>
        </w:rPr>
        <w:t xml:space="preserve"> e</w:t>
      </w:r>
      <w:r w:rsidRPr="005F25CA">
        <w:rPr>
          <w:rStyle w:val="a9"/>
          <w:sz w:val="24"/>
          <w:szCs w:val="24"/>
          <w:lang w:val="en-US"/>
        </w:rPr>
        <w:t>lderly patients</w:t>
      </w:r>
    </w:p>
    <w:p w:rsidR="00512251" w:rsidRPr="005F25CA" w:rsidRDefault="00384648" w:rsidP="002701F5">
      <w:pPr>
        <w:pStyle w:val="4"/>
        <w:shd w:val="clear" w:color="auto" w:fill="auto"/>
        <w:spacing w:line="240" w:lineRule="auto"/>
        <w:ind w:firstLine="0"/>
        <w:jc w:val="both"/>
        <w:rPr>
          <w:sz w:val="24"/>
          <w:szCs w:val="24"/>
          <w:lang w:val="en-US"/>
        </w:rPr>
      </w:pPr>
      <w:r w:rsidRPr="005F25CA">
        <w:rPr>
          <w:sz w:val="24"/>
          <w:szCs w:val="24"/>
          <w:lang w:val="en-US"/>
        </w:rPr>
        <w:t>No increased bleeding tendency was observed in the elderly with preventive dosage ranges.</w:t>
      </w:r>
      <w:r w:rsidR="00D36A8D" w:rsidRPr="005F25CA">
        <w:rPr>
          <w:sz w:val="24"/>
          <w:szCs w:val="24"/>
          <w:lang w:val="en-US"/>
        </w:rPr>
        <w:t xml:space="preserve"> </w:t>
      </w:r>
      <w:r w:rsidRPr="005F25CA">
        <w:rPr>
          <w:sz w:val="24"/>
          <w:szCs w:val="24"/>
          <w:lang w:val="en-US"/>
        </w:rPr>
        <w:t>Elderly patients (especially patients 80 years of age and older) may be at an increased risk for bleeding complications with the therapeutic dosage ranges.</w:t>
      </w:r>
      <w:r w:rsidR="00D36A8D" w:rsidRPr="005F25CA">
        <w:rPr>
          <w:sz w:val="24"/>
          <w:szCs w:val="24"/>
          <w:lang w:val="en-US"/>
        </w:rPr>
        <w:t xml:space="preserve"> </w:t>
      </w:r>
      <w:r w:rsidRPr="005F25CA">
        <w:rPr>
          <w:sz w:val="24"/>
          <w:szCs w:val="24"/>
          <w:lang w:val="en-US"/>
        </w:rPr>
        <w:t>In the treatment of ST-segment elevation acute myocardial infarction increase in bleeding events was observed in patients aged 65 to 75 years, indicating that these patients may be at particular risk of bleeding.</w:t>
      </w:r>
      <w:r w:rsidR="00D36A8D" w:rsidRPr="005F25CA">
        <w:rPr>
          <w:sz w:val="24"/>
          <w:szCs w:val="24"/>
          <w:lang w:val="en-US"/>
        </w:rPr>
        <w:t xml:space="preserve"> </w:t>
      </w:r>
      <w:r w:rsidRPr="005F25CA">
        <w:rPr>
          <w:sz w:val="24"/>
          <w:szCs w:val="24"/>
          <w:lang w:val="en-US"/>
        </w:rPr>
        <w:t>Close clinical monitoring is recommended.</w:t>
      </w:r>
    </w:p>
    <w:p w:rsidR="00512251" w:rsidRPr="005F25CA" w:rsidRDefault="00384648" w:rsidP="002701F5">
      <w:pPr>
        <w:pStyle w:val="41"/>
        <w:shd w:val="clear" w:color="auto" w:fill="auto"/>
        <w:spacing w:line="240" w:lineRule="auto"/>
        <w:rPr>
          <w:sz w:val="24"/>
          <w:szCs w:val="24"/>
          <w:lang w:val="en-US"/>
        </w:rPr>
      </w:pPr>
      <w:r w:rsidRPr="005F25CA">
        <w:rPr>
          <w:rStyle w:val="42"/>
          <w:i/>
          <w:iCs/>
          <w:sz w:val="24"/>
          <w:szCs w:val="24"/>
          <w:lang w:val="en-US"/>
        </w:rPr>
        <w:t>Renal insufficiency</w:t>
      </w:r>
    </w:p>
    <w:p w:rsidR="00512251" w:rsidRPr="005F25CA" w:rsidRDefault="00962908" w:rsidP="002701F5">
      <w:pPr>
        <w:pStyle w:val="4"/>
        <w:shd w:val="clear" w:color="auto" w:fill="auto"/>
        <w:spacing w:line="240" w:lineRule="auto"/>
        <w:ind w:firstLine="0"/>
        <w:jc w:val="both"/>
        <w:rPr>
          <w:sz w:val="24"/>
          <w:szCs w:val="24"/>
          <w:lang w:val="en-US"/>
        </w:rPr>
      </w:pPr>
      <w:r w:rsidRPr="005F25CA">
        <w:rPr>
          <w:sz w:val="24"/>
          <w:szCs w:val="24"/>
          <w:lang w:val="en-US"/>
        </w:rPr>
        <w:t>In patients with renal impairment, there is an increase in exposure of enoxaparin which increases the risk of bleeding.</w:t>
      </w:r>
      <w:r w:rsidR="00D36A8D" w:rsidRPr="005F25CA">
        <w:rPr>
          <w:sz w:val="24"/>
          <w:szCs w:val="24"/>
          <w:lang w:val="en-US"/>
        </w:rPr>
        <w:t xml:space="preserve"> </w:t>
      </w:r>
      <w:r w:rsidRPr="005F25CA">
        <w:rPr>
          <w:sz w:val="24"/>
          <w:szCs w:val="24"/>
          <w:lang w:val="en-US"/>
        </w:rPr>
        <w:t xml:space="preserve">Since exposure of enoxaparin is significantly increased in patients with severe renal impairment (creatinine clearance &lt;30 mL/min), a dosage adjustment is </w:t>
      </w:r>
      <w:r w:rsidR="00B506BF" w:rsidRPr="005F25CA">
        <w:rPr>
          <w:sz w:val="24"/>
          <w:szCs w:val="24"/>
          <w:lang w:val="en-US"/>
        </w:rPr>
        <w:t>advis</w:t>
      </w:r>
      <w:r w:rsidRPr="005F25CA">
        <w:rPr>
          <w:sz w:val="24"/>
          <w:szCs w:val="24"/>
          <w:lang w:val="en-US"/>
        </w:rPr>
        <w:t>ed for therapeutic and prophylactic dosage ranges.</w:t>
      </w:r>
      <w:r w:rsidR="00D36A8D" w:rsidRPr="005F25CA">
        <w:rPr>
          <w:sz w:val="24"/>
          <w:szCs w:val="24"/>
          <w:lang w:val="en-US"/>
        </w:rPr>
        <w:t xml:space="preserve"> </w:t>
      </w:r>
      <w:r w:rsidR="00733DB5" w:rsidRPr="005F25CA">
        <w:rPr>
          <w:sz w:val="24"/>
          <w:szCs w:val="24"/>
          <w:lang w:val="en-US"/>
        </w:rPr>
        <w:t>Although no dose adjustment is recommended in patients with moderate (creatinine clearance 30-50 mL/min) and mild (creatinine clearance 50-80 mL/min) renal impairment, careful clinical observation is advised</w:t>
      </w:r>
      <w:r w:rsidRPr="005F25CA">
        <w:rPr>
          <w:sz w:val="24"/>
          <w:szCs w:val="24"/>
          <w:lang w:val="en-US"/>
        </w:rPr>
        <w:t>.</w:t>
      </w:r>
      <w:r w:rsidR="00D36A8D" w:rsidRPr="005F25CA">
        <w:rPr>
          <w:sz w:val="24"/>
          <w:szCs w:val="24"/>
          <w:lang w:val="en-US"/>
        </w:rPr>
        <w:t xml:space="preserve"> </w:t>
      </w:r>
      <w:r w:rsidR="002235C7" w:rsidRPr="005F25CA">
        <w:rPr>
          <w:sz w:val="24"/>
          <w:szCs w:val="24"/>
          <w:lang w:val="en-US"/>
        </w:rPr>
        <w:t xml:space="preserve">In the treatment of acute myocardial infarction with ST-segment elevation data in patients with creatinine levels above 220 and </w:t>
      </w:r>
      <w:proofErr w:type="gramStart"/>
      <w:r w:rsidR="002235C7" w:rsidRPr="005F25CA">
        <w:rPr>
          <w:sz w:val="24"/>
          <w:szCs w:val="24"/>
          <w:lang w:val="en-US"/>
        </w:rPr>
        <w:t>175 µ</w:t>
      </w:r>
      <w:proofErr w:type="spellStart"/>
      <w:r w:rsidR="002235C7" w:rsidRPr="005F25CA">
        <w:rPr>
          <w:sz w:val="24"/>
          <w:szCs w:val="24"/>
          <w:lang w:val="en-US"/>
        </w:rPr>
        <w:t>mol</w:t>
      </w:r>
      <w:proofErr w:type="spellEnd"/>
      <w:r w:rsidR="002235C7" w:rsidRPr="005F25CA">
        <w:rPr>
          <w:sz w:val="24"/>
          <w:szCs w:val="24"/>
          <w:lang w:val="en-US"/>
        </w:rPr>
        <w:t>/L</w:t>
      </w:r>
      <w:proofErr w:type="gramEnd"/>
      <w:r w:rsidR="002235C7" w:rsidRPr="005F25CA">
        <w:rPr>
          <w:sz w:val="24"/>
          <w:szCs w:val="24"/>
          <w:lang w:val="en-US"/>
        </w:rPr>
        <w:t xml:space="preserve"> for men and women</w:t>
      </w:r>
      <w:r w:rsidR="00C66761">
        <w:rPr>
          <w:sz w:val="24"/>
          <w:szCs w:val="24"/>
          <w:lang w:val="en-US"/>
        </w:rPr>
        <w:t xml:space="preserve"> are </w:t>
      </w:r>
      <w:r w:rsidR="002235C7" w:rsidRPr="005F25CA">
        <w:rPr>
          <w:sz w:val="24"/>
          <w:szCs w:val="24"/>
          <w:lang w:val="en-US"/>
        </w:rPr>
        <w:t>respectively limited</w:t>
      </w:r>
      <w:r w:rsidR="00733DB5" w:rsidRPr="005F25CA">
        <w:rPr>
          <w:sz w:val="24"/>
          <w:szCs w:val="24"/>
          <w:lang w:val="en-US"/>
        </w:rPr>
        <w:t>.</w:t>
      </w:r>
    </w:p>
    <w:p w:rsidR="00512251" w:rsidRPr="005F25CA" w:rsidRDefault="002235C7" w:rsidP="002701F5">
      <w:pPr>
        <w:pStyle w:val="41"/>
        <w:shd w:val="clear" w:color="auto" w:fill="auto"/>
        <w:spacing w:line="240" w:lineRule="auto"/>
        <w:rPr>
          <w:sz w:val="24"/>
          <w:szCs w:val="24"/>
          <w:lang w:val="en-US"/>
        </w:rPr>
      </w:pPr>
      <w:r w:rsidRPr="005F25CA">
        <w:rPr>
          <w:rStyle w:val="42"/>
          <w:i/>
          <w:iCs/>
          <w:sz w:val="24"/>
          <w:szCs w:val="24"/>
          <w:lang w:val="en-US"/>
        </w:rPr>
        <w:t>Low body weight</w:t>
      </w:r>
    </w:p>
    <w:p w:rsidR="00512251" w:rsidRPr="005F25CA" w:rsidRDefault="00D7380A" w:rsidP="002701F5">
      <w:pPr>
        <w:pStyle w:val="4"/>
        <w:shd w:val="clear" w:color="auto" w:fill="auto"/>
        <w:spacing w:line="240" w:lineRule="auto"/>
        <w:ind w:firstLine="0"/>
        <w:jc w:val="both"/>
        <w:rPr>
          <w:sz w:val="24"/>
          <w:szCs w:val="24"/>
          <w:lang w:val="en-US"/>
        </w:rPr>
      </w:pPr>
      <w:r w:rsidRPr="005F25CA">
        <w:rPr>
          <w:sz w:val="24"/>
          <w:szCs w:val="24"/>
          <w:lang w:val="en-US"/>
        </w:rPr>
        <w:t>An increase in exposure of enoxaparin with prophylactic dosages (non-weight adjusted) has been observed in low-weight women (&lt;45 kg) and low-weight men (&lt;57 kg), which may lead to a higher risk of bleeding.</w:t>
      </w:r>
      <w:r w:rsidR="00D36A8D" w:rsidRPr="005F25CA">
        <w:rPr>
          <w:sz w:val="24"/>
          <w:szCs w:val="24"/>
          <w:lang w:val="en-US"/>
        </w:rPr>
        <w:t xml:space="preserve"> </w:t>
      </w:r>
      <w:r w:rsidR="00BD1CB3" w:rsidRPr="005F25CA">
        <w:rPr>
          <w:sz w:val="24"/>
          <w:szCs w:val="24"/>
          <w:lang w:val="en-US"/>
        </w:rPr>
        <w:t>Therefore, careful clinical monitoring is advised in these patients.</w:t>
      </w:r>
    </w:p>
    <w:p w:rsidR="00512251" w:rsidRPr="005F25CA" w:rsidRDefault="00BD1CB3" w:rsidP="002701F5">
      <w:pPr>
        <w:pStyle w:val="41"/>
        <w:shd w:val="clear" w:color="auto" w:fill="auto"/>
        <w:spacing w:line="240" w:lineRule="auto"/>
        <w:rPr>
          <w:sz w:val="24"/>
          <w:szCs w:val="24"/>
          <w:lang w:val="en-US"/>
        </w:rPr>
      </w:pPr>
      <w:r w:rsidRPr="005F25CA">
        <w:rPr>
          <w:rStyle w:val="42"/>
          <w:i/>
          <w:iCs/>
          <w:sz w:val="24"/>
          <w:szCs w:val="24"/>
          <w:lang w:val="en-US"/>
        </w:rPr>
        <w:t>Monitoring.</w:t>
      </w:r>
    </w:p>
    <w:p w:rsidR="00995539" w:rsidRPr="005F25CA" w:rsidRDefault="00EB5E18" w:rsidP="002701F5">
      <w:pPr>
        <w:pStyle w:val="4"/>
        <w:shd w:val="clear" w:color="auto" w:fill="auto"/>
        <w:spacing w:line="240" w:lineRule="auto"/>
        <w:ind w:firstLine="0"/>
        <w:jc w:val="both"/>
        <w:rPr>
          <w:sz w:val="24"/>
          <w:szCs w:val="24"/>
          <w:lang w:val="en-US"/>
        </w:rPr>
      </w:pPr>
      <w:r w:rsidRPr="005F25CA">
        <w:rPr>
          <w:sz w:val="24"/>
          <w:szCs w:val="24"/>
          <w:lang w:val="en-US"/>
        </w:rPr>
        <w:lastRenderedPageBreak/>
        <w:t>Risk assessment and clinical monitoring are the best predictors of the risk of potential bleeding.</w:t>
      </w:r>
      <w:r w:rsidR="00D36A8D" w:rsidRPr="005F25CA">
        <w:rPr>
          <w:sz w:val="24"/>
          <w:szCs w:val="24"/>
          <w:lang w:val="en-US"/>
        </w:rPr>
        <w:t xml:space="preserve"> </w:t>
      </w:r>
      <w:r w:rsidRPr="005F25CA">
        <w:rPr>
          <w:sz w:val="24"/>
          <w:szCs w:val="24"/>
          <w:lang w:val="en-US"/>
        </w:rPr>
        <w:t>Routine anti-Xa activity monitoring is usually not required.</w:t>
      </w:r>
      <w:r w:rsidR="00D36A8D" w:rsidRPr="005F25CA">
        <w:rPr>
          <w:sz w:val="24"/>
          <w:szCs w:val="24"/>
          <w:lang w:val="en-US"/>
        </w:rPr>
        <w:t xml:space="preserve"> </w:t>
      </w:r>
      <w:r w:rsidRPr="005F25CA">
        <w:rPr>
          <w:sz w:val="24"/>
          <w:szCs w:val="24"/>
          <w:lang w:val="en-US"/>
        </w:rPr>
        <w:t>However, anti-Xa activity monitoring might be considered in those patients treated with LMWH who also have either an increased risk of bleeding (such as those with renal impairment, elderly and extremes of weight) or are actively bleeding.</w:t>
      </w:r>
      <w:r w:rsidR="00D36A8D" w:rsidRPr="005F25CA">
        <w:rPr>
          <w:sz w:val="24"/>
          <w:szCs w:val="24"/>
          <w:lang w:val="en-US"/>
        </w:rPr>
        <w:t xml:space="preserve"> </w:t>
      </w:r>
    </w:p>
    <w:p w:rsidR="00512251" w:rsidRPr="005F25CA" w:rsidRDefault="00EB5E18" w:rsidP="002701F5">
      <w:pPr>
        <w:pStyle w:val="4"/>
        <w:shd w:val="clear" w:color="auto" w:fill="auto"/>
        <w:spacing w:line="240" w:lineRule="auto"/>
        <w:ind w:firstLine="0"/>
        <w:jc w:val="both"/>
        <w:rPr>
          <w:sz w:val="24"/>
          <w:szCs w:val="24"/>
          <w:lang w:val="en-US"/>
        </w:rPr>
      </w:pPr>
      <w:r w:rsidRPr="005F25CA">
        <w:rPr>
          <w:rStyle w:val="a9"/>
          <w:sz w:val="24"/>
          <w:szCs w:val="24"/>
          <w:lang w:val="en-US"/>
        </w:rPr>
        <w:t>Laboratory tests</w:t>
      </w:r>
    </w:p>
    <w:p w:rsidR="00512251" w:rsidRPr="005F25CA" w:rsidRDefault="00601035" w:rsidP="002701F5">
      <w:pPr>
        <w:pStyle w:val="4"/>
        <w:shd w:val="clear" w:color="auto" w:fill="auto"/>
        <w:spacing w:line="240" w:lineRule="auto"/>
        <w:ind w:firstLine="0"/>
        <w:jc w:val="both"/>
        <w:rPr>
          <w:sz w:val="24"/>
          <w:szCs w:val="24"/>
          <w:lang w:val="en-US"/>
        </w:rPr>
      </w:pPr>
      <w:r w:rsidRPr="005F25CA">
        <w:rPr>
          <w:sz w:val="24"/>
          <w:szCs w:val="24"/>
          <w:lang w:val="en-US"/>
        </w:rPr>
        <w:t>At doses used for prophylaxis of venous thromboembolism, enoxaparin sodium does not influence bleeding time and global blood coagulation tests significantly, nor does it affect platelet aggregation or binding of fibrinogen to platelets.</w:t>
      </w:r>
      <w:r w:rsidR="00D36A8D" w:rsidRPr="005F25CA">
        <w:rPr>
          <w:sz w:val="24"/>
          <w:szCs w:val="24"/>
          <w:lang w:val="en-US"/>
        </w:rPr>
        <w:t xml:space="preserve"> </w:t>
      </w:r>
      <w:r w:rsidR="001F3FBA" w:rsidRPr="005F25CA">
        <w:rPr>
          <w:sz w:val="24"/>
          <w:szCs w:val="24"/>
          <w:lang w:val="en-US"/>
        </w:rPr>
        <w:t xml:space="preserve">At higher doses, increases in APTT (activated partial </w:t>
      </w:r>
      <w:proofErr w:type="spellStart"/>
      <w:r w:rsidR="001F3FBA" w:rsidRPr="005F25CA">
        <w:rPr>
          <w:sz w:val="24"/>
          <w:szCs w:val="24"/>
          <w:lang w:val="en-US"/>
        </w:rPr>
        <w:t>thromboplastin</w:t>
      </w:r>
      <w:proofErr w:type="spellEnd"/>
      <w:r w:rsidR="001F3FBA" w:rsidRPr="005F25CA">
        <w:rPr>
          <w:sz w:val="24"/>
          <w:szCs w:val="24"/>
          <w:lang w:val="en-US"/>
        </w:rPr>
        <w:t xml:space="preserve"> time) and ACT (activated clotting time) may occur.</w:t>
      </w:r>
      <w:r w:rsidR="00D36A8D" w:rsidRPr="005F25CA">
        <w:rPr>
          <w:sz w:val="24"/>
          <w:szCs w:val="24"/>
          <w:lang w:val="en-US"/>
        </w:rPr>
        <w:t xml:space="preserve"> </w:t>
      </w:r>
      <w:r w:rsidR="001F3FBA" w:rsidRPr="005F25CA">
        <w:rPr>
          <w:sz w:val="24"/>
          <w:szCs w:val="24"/>
          <w:lang w:val="en-US"/>
        </w:rPr>
        <w:t xml:space="preserve">Increases in APTT and ACT are not linearly correlated with increasing enoxaparin sodium antithrombotic activity and therefore are unsuitable and unreliable for monitoring enoxaparin sodium activity. </w:t>
      </w:r>
    </w:p>
    <w:p w:rsidR="00995539" w:rsidRPr="005F25CA" w:rsidRDefault="00995539" w:rsidP="002701F5">
      <w:pPr>
        <w:pStyle w:val="30"/>
        <w:shd w:val="clear" w:color="auto" w:fill="auto"/>
        <w:spacing w:before="0" w:line="240" w:lineRule="auto"/>
        <w:rPr>
          <w:sz w:val="24"/>
          <w:szCs w:val="24"/>
          <w:lang w:val="en-US"/>
        </w:rPr>
      </w:pPr>
    </w:p>
    <w:p w:rsidR="00512251" w:rsidRPr="005F25CA" w:rsidRDefault="001F3FBA" w:rsidP="002701F5">
      <w:pPr>
        <w:pStyle w:val="30"/>
        <w:shd w:val="clear" w:color="auto" w:fill="auto"/>
        <w:spacing w:before="0" w:line="240" w:lineRule="auto"/>
        <w:rPr>
          <w:sz w:val="24"/>
          <w:szCs w:val="24"/>
          <w:lang w:val="en-US"/>
        </w:rPr>
      </w:pPr>
      <w:r w:rsidRPr="005F25CA">
        <w:rPr>
          <w:sz w:val="24"/>
          <w:szCs w:val="24"/>
          <w:lang w:val="en-US"/>
        </w:rPr>
        <w:t>Pregnancy and lactation.</w:t>
      </w:r>
    </w:p>
    <w:p w:rsidR="00512251" w:rsidRPr="005F25CA" w:rsidRDefault="001F3FBA" w:rsidP="002701F5">
      <w:pPr>
        <w:pStyle w:val="41"/>
        <w:shd w:val="clear" w:color="auto" w:fill="auto"/>
        <w:spacing w:line="240" w:lineRule="auto"/>
        <w:rPr>
          <w:sz w:val="24"/>
          <w:szCs w:val="24"/>
          <w:lang w:val="en-US"/>
        </w:rPr>
      </w:pPr>
      <w:r w:rsidRPr="005F25CA">
        <w:rPr>
          <w:sz w:val="24"/>
          <w:szCs w:val="24"/>
          <w:u w:val="single"/>
          <w:lang w:val="en-US"/>
        </w:rPr>
        <w:t>For 2</w:t>
      </w:r>
      <w:r w:rsidR="006919AB" w:rsidRPr="005F25CA">
        <w:rPr>
          <w:sz w:val="24"/>
          <w:szCs w:val="24"/>
          <w:u w:val="single"/>
          <w:lang w:val="en-US"/>
        </w:rPr>
        <w:t>,</w:t>
      </w:r>
      <w:r w:rsidRPr="005F25CA">
        <w:rPr>
          <w:sz w:val="24"/>
          <w:szCs w:val="24"/>
          <w:u w:val="single"/>
          <w:lang w:val="en-US"/>
        </w:rPr>
        <w:t xml:space="preserve">000 anti-Ха IU/0.2 </w:t>
      </w:r>
      <w:r w:rsidR="00D027D1" w:rsidRPr="005F25CA">
        <w:rPr>
          <w:sz w:val="24"/>
          <w:szCs w:val="24"/>
          <w:u w:val="single"/>
          <w:lang w:val="en-US"/>
        </w:rPr>
        <w:t>mL</w:t>
      </w:r>
      <w:r w:rsidRPr="005F25CA">
        <w:rPr>
          <w:sz w:val="24"/>
          <w:szCs w:val="24"/>
          <w:u w:val="single"/>
          <w:lang w:val="en-US"/>
        </w:rPr>
        <w:t>, equivalent to 20 mg of enoxaparin sodium;</w:t>
      </w:r>
    </w:p>
    <w:p w:rsidR="001F3FBA" w:rsidRPr="005F25CA" w:rsidRDefault="001F3FBA" w:rsidP="002701F5">
      <w:pPr>
        <w:pStyle w:val="41"/>
        <w:shd w:val="clear" w:color="auto" w:fill="auto"/>
        <w:spacing w:line="240" w:lineRule="auto"/>
        <w:rPr>
          <w:sz w:val="24"/>
          <w:szCs w:val="24"/>
          <w:lang w:val="en-US"/>
        </w:rPr>
      </w:pPr>
      <w:r w:rsidRPr="005F25CA">
        <w:rPr>
          <w:rStyle w:val="42"/>
          <w:i/>
          <w:iCs/>
          <w:sz w:val="24"/>
          <w:szCs w:val="24"/>
          <w:lang w:val="en-US"/>
        </w:rPr>
        <w:t>For 4</w:t>
      </w:r>
      <w:r w:rsidR="006919AB" w:rsidRPr="005F25CA">
        <w:rPr>
          <w:rStyle w:val="42"/>
          <w:i/>
          <w:iCs/>
          <w:sz w:val="24"/>
          <w:szCs w:val="24"/>
          <w:lang w:val="en-US"/>
        </w:rPr>
        <w:t>,</w:t>
      </w:r>
      <w:r w:rsidRPr="005F25CA">
        <w:rPr>
          <w:rStyle w:val="42"/>
          <w:i/>
          <w:iCs/>
          <w:sz w:val="24"/>
          <w:szCs w:val="24"/>
          <w:lang w:val="en-US"/>
        </w:rPr>
        <w:t xml:space="preserve">000 anti-Ха IU/0.4 </w:t>
      </w:r>
      <w:r w:rsidR="00D027D1" w:rsidRPr="005F25CA">
        <w:rPr>
          <w:rStyle w:val="42"/>
          <w:i/>
          <w:iCs/>
          <w:sz w:val="24"/>
          <w:szCs w:val="24"/>
          <w:lang w:val="en-US"/>
        </w:rPr>
        <w:t>mL</w:t>
      </w:r>
      <w:r w:rsidRPr="005F25CA">
        <w:rPr>
          <w:rStyle w:val="42"/>
          <w:i/>
          <w:iCs/>
          <w:sz w:val="24"/>
          <w:szCs w:val="24"/>
          <w:lang w:val="en-US"/>
        </w:rPr>
        <w:t>, equivalent to 40 mg of enoxaparin sodium</w:t>
      </w:r>
      <w:r w:rsidR="00D36A8D" w:rsidRPr="005F25CA">
        <w:rPr>
          <w:sz w:val="24"/>
          <w:szCs w:val="24"/>
          <w:lang w:val="en-US"/>
        </w:rPr>
        <w:t xml:space="preserve"> </w:t>
      </w:r>
    </w:p>
    <w:p w:rsidR="00512251" w:rsidRPr="005F25CA" w:rsidRDefault="001F3FBA" w:rsidP="002701F5">
      <w:pPr>
        <w:pStyle w:val="41"/>
        <w:shd w:val="clear" w:color="auto" w:fill="auto"/>
        <w:spacing w:line="240" w:lineRule="auto"/>
        <w:rPr>
          <w:sz w:val="24"/>
          <w:szCs w:val="24"/>
          <w:lang w:val="en-US"/>
        </w:rPr>
      </w:pPr>
      <w:r w:rsidRPr="005F25CA">
        <w:rPr>
          <w:rStyle w:val="42"/>
          <w:i/>
          <w:iCs/>
          <w:sz w:val="24"/>
          <w:szCs w:val="24"/>
          <w:lang w:val="en-US"/>
        </w:rPr>
        <w:t>Pregnancy.</w:t>
      </w:r>
    </w:p>
    <w:p w:rsidR="00512251" w:rsidRPr="005F25CA" w:rsidRDefault="001D3723" w:rsidP="002701F5">
      <w:pPr>
        <w:pStyle w:val="41"/>
        <w:shd w:val="clear" w:color="auto" w:fill="auto"/>
        <w:spacing w:line="240" w:lineRule="auto"/>
        <w:jc w:val="both"/>
        <w:rPr>
          <w:sz w:val="24"/>
          <w:szCs w:val="24"/>
          <w:lang w:val="en-US"/>
        </w:rPr>
      </w:pPr>
      <w:bookmarkStart w:id="2" w:name="bookmark26"/>
      <w:r w:rsidRPr="005F25CA">
        <w:rPr>
          <w:sz w:val="24"/>
          <w:szCs w:val="24"/>
          <w:u w:val="single"/>
          <w:lang w:val="en-US"/>
        </w:rPr>
        <w:t>Prophylactic treatment during the first trimester</w:t>
      </w:r>
      <w:bookmarkEnd w:id="2"/>
      <w:r w:rsidRPr="005F25CA">
        <w:rPr>
          <w:sz w:val="24"/>
          <w:szCs w:val="24"/>
          <w:u w:val="single"/>
          <w:lang w:val="en-US"/>
        </w:rPr>
        <w:t>.</w:t>
      </w:r>
    </w:p>
    <w:p w:rsidR="00512251" w:rsidRPr="005F25CA" w:rsidRDefault="00114EDE"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There are not enough relevant clinical data concerning possible </w:t>
      </w:r>
      <w:proofErr w:type="spellStart"/>
      <w:r w:rsidRPr="005F25CA">
        <w:rPr>
          <w:sz w:val="24"/>
          <w:szCs w:val="24"/>
          <w:lang w:val="en-US" w:eastAsia="en-US" w:bidi="en-US"/>
        </w:rPr>
        <w:t>teratogenic</w:t>
      </w:r>
      <w:proofErr w:type="spellEnd"/>
      <w:r w:rsidRPr="005F25CA">
        <w:rPr>
          <w:sz w:val="24"/>
          <w:szCs w:val="24"/>
          <w:lang w:val="en-US" w:eastAsia="en-US" w:bidi="en-US"/>
        </w:rPr>
        <w:t xml:space="preserve"> or </w:t>
      </w:r>
      <w:proofErr w:type="spellStart"/>
      <w:r w:rsidRPr="005F25CA">
        <w:rPr>
          <w:sz w:val="24"/>
          <w:szCs w:val="24"/>
          <w:lang w:val="en-US" w:eastAsia="en-US" w:bidi="en-US"/>
        </w:rPr>
        <w:t>fetotoxic</w:t>
      </w:r>
      <w:proofErr w:type="spellEnd"/>
      <w:r w:rsidRPr="005F25CA">
        <w:rPr>
          <w:sz w:val="24"/>
          <w:szCs w:val="24"/>
          <w:lang w:val="en-US" w:eastAsia="en-US" w:bidi="en-US"/>
        </w:rPr>
        <w:t xml:space="preserve"> effects of enoxaparin when the drug is administered preventively during the first trimester</w:t>
      </w:r>
      <w:r w:rsidR="00765490" w:rsidRPr="005F25CA">
        <w:rPr>
          <w:sz w:val="24"/>
          <w:szCs w:val="24"/>
          <w:lang w:val="en-US" w:eastAsia="en-US" w:bidi="en-US"/>
        </w:rPr>
        <w:t>.</w:t>
      </w:r>
    </w:p>
    <w:p w:rsidR="00512251" w:rsidRPr="005F25CA" w:rsidRDefault="00765490"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As a precautionary measure, enoxaparin prophylaxis should not be administered during the first trimester.</w:t>
      </w:r>
    </w:p>
    <w:p w:rsidR="00512251" w:rsidRPr="005F25CA" w:rsidRDefault="0009684D"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If epidural anesthesia is planned, preventive heparin treatment should be interrupted whenever possible within 12 hours before the anesthesia at the latest.</w:t>
      </w:r>
    </w:p>
    <w:p w:rsidR="00512251" w:rsidRPr="005F25CA" w:rsidRDefault="0009684D" w:rsidP="002701F5">
      <w:pPr>
        <w:pStyle w:val="41"/>
        <w:shd w:val="clear" w:color="auto" w:fill="auto"/>
        <w:spacing w:line="240" w:lineRule="auto"/>
        <w:jc w:val="both"/>
        <w:rPr>
          <w:sz w:val="24"/>
          <w:szCs w:val="24"/>
          <w:lang w:val="en-US"/>
        </w:rPr>
      </w:pPr>
      <w:bookmarkStart w:id="3" w:name="bookmark27"/>
      <w:r w:rsidRPr="005F25CA">
        <w:rPr>
          <w:sz w:val="24"/>
          <w:szCs w:val="24"/>
          <w:u w:val="single"/>
          <w:lang w:val="en-US"/>
        </w:rPr>
        <w:t>Preventive treatment during the second and third trimesters</w:t>
      </w:r>
      <w:bookmarkEnd w:id="3"/>
      <w:r w:rsidRPr="005F25CA">
        <w:rPr>
          <w:sz w:val="24"/>
          <w:szCs w:val="24"/>
          <w:u w:val="single"/>
          <w:lang w:val="en-US"/>
        </w:rPr>
        <w:t>.</w:t>
      </w:r>
    </w:p>
    <w:p w:rsidR="00512251" w:rsidRPr="005F25CA" w:rsidRDefault="006D2195"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 xml:space="preserve">Administration of prophylactic doses of enoxaparin to women during the second and third trimesters in a limited number of pregnancies has apparently not resulted in any particular </w:t>
      </w:r>
      <w:proofErr w:type="spellStart"/>
      <w:r w:rsidRPr="005F25CA">
        <w:rPr>
          <w:sz w:val="24"/>
          <w:szCs w:val="24"/>
          <w:lang w:val="en-US" w:eastAsia="en-US" w:bidi="en-US"/>
        </w:rPr>
        <w:t>teratogenic</w:t>
      </w:r>
      <w:proofErr w:type="spellEnd"/>
      <w:r w:rsidRPr="005F25CA">
        <w:rPr>
          <w:sz w:val="24"/>
          <w:szCs w:val="24"/>
          <w:lang w:val="en-US" w:eastAsia="en-US" w:bidi="en-US"/>
        </w:rPr>
        <w:t xml:space="preserve"> or </w:t>
      </w:r>
      <w:proofErr w:type="spellStart"/>
      <w:r w:rsidRPr="005F25CA">
        <w:rPr>
          <w:sz w:val="24"/>
          <w:szCs w:val="24"/>
          <w:lang w:val="en-US" w:eastAsia="en-US" w:bidi="en-US"/>
        </w:rPr>
        <w:t>fetotoxic</w:t>
      </w:r>
      <w:proofErr w:type="spellEnd"/>
      <w:r w:rsidRPr="005F25CA">
        <w:rPr>
          <w:sz w:val="24"/>
          <w:szCs w:val="24"/>
          <w:lang w:val="en-US" w:eastAsia="en-US" w:bidi="en-US"/>
        </w:rPr>
        <w:t xml:space="preserve"> effects.</w:t>
      </w:r>
      <w:r w:rsidR="00D36A8D" w:rsidRPr="005F25CA">
        <w:rPr>
          <w:sz w:val="24"/>
          <w:szCs w:val="24"/>
          <w:lang w:val="en-US"/>
        </w:rPr>
        <w:t xml:space="preserve"> </w:t>
      </w:r>
      <w:r w:rsidRPr="005F25CA">
        <w:rPr>
          <w:sz w:val="24"/>
          <w:szCs w:val="24"/>
          <w:lang w:val="en-US" w:eastAsia="en-US" w:bidi="en-US"/>
        </w:rPr>
        <w:t>However, additional studies are needed to evaluate the effects of exposure under these conditions.</w:t>
      </w:r>
    </w:p>
    <w:p w:rsidR="00512251" w:rsidRPr="005F25CA" w:rsidRDefault="006D2195" w:rsidP="002701F5">
      <w:pPr>
        <w:pStyle w:val="4"/>
        <w:shd w:val="clear" w:color="auto" w:fill="auto"/>
        <w:spacing w:line="240" w:lineRule="auto"/>
        <w:ind w:firstLine="0"/>
        <w:jc w:val="both"/>
        <w:rPr>
          <w:sz w:val="24"/>
          <w:szCs w:val="24"/>
          <w:lang w:val="en-US"/>
        </w:rPr>
      </w:pPr>
      <w:r w:rsidRPr="005F25CA">
        <w:rPr>
          <w:sz w:val="24"/>
          <w:szCs w:val="24"/>
          <w:lang w:val="en-US" w:eastAsia="en-US" w:bidi="en-US"/>
        </w:rPr>
        <w:t>Therefore, enoxaparin prophylaxis during the second and third trimesters should only be administered if necessary.</w:t>
      </w:r>
    </w:p>
    <w:p w:rsidR="00512251" w:rsidRPr="005F25CA" w:rsidRDefault="006D2195" w:rsidP="002701F5">
      <w:pPr>
        <w:pStyle w:val="4"/>
        <w:shd w:val="clear" w:color="auto" w:fill="auto"/>
        <w:spacing w:line="240" w:lineRule="auto"/>
        <w:ind w:firstLine="0"/>
        <w:jc w:val="both"/>
        <w:rPr>
          <w:sz w:val="24"/>
          <w:szCs w:val="24"/>
          <w:lang w:val="en-US"/>
        </w:rPr>
      </w:pPr>
      <w:r w:rsidRPr="005F25CA">
        <w:rPr>
          <w:sz w:val="24"/>
          <w:szCs w:val="24"/>
          <w:lang w:val="en-US"/>
        </w:rPr>
        <w:t>If epidural anesthesia is planned, preventive heparin treatment should be interrupted whenever possible within 12 hours before the anesthesia at the latest.</w:t>
      </w:r>
    </w:p>
    <w:p w:rsidR="00512251" w:rsidRPr="005F25CA" w:rsidRDefault="006D2195" w:rsidP="002701F5">
      <w:pPr>
        <w:pStyle w:val="41"/>
        <w:shd w:val="clear" w:color="auto" w:fill="auto"/>
        <w:spacing w:line="240" w:lineRule="auto"/>
        <w:jc w:val="both"/>
        <w:rPr>
          <w:sz w:val="24"/>
          <w:szCs w:val="24"/>
          <w:lang w:val="en-US"/>
        </w:rPr>
      </w:pPr>
      <w:r w:rsidRPr="005F25CA">
        <w:rPr>
          <w:rStyle w:val="42"/>
          <w:i/>
          <w:iCs/>
          <w:sz w:val="24"/>
          <w:szCs w:val="24"/>
          <w:lang w:val="en-US"/>
        </w:rPr>
        <w:t>For 6</w:t>
      </w:r>
      <w:r w:rsidR="006919AB" w:rsidRPr="005F25CA">
        <w:rPr>
          <w:rStyle w:val="42"/>
          <w:i/>
          <w:iCs/>
          <w:sz w:val="24"/>
          <w:szCs w:val="24"/>
          <w:lang w:val="en-US"/>
        </w:rPr>
        <w:t>,</w:t>
      </w:r>
      <w:r w:rsidRPr="005F25CA">
        <w:rPr>
          <w:rStyle w:val="42"/>
          <w:i/>
          <w:iCs/>
          <w:sz w:val="24"/>
          <w:szCs w:val="24"/>
          <w:lang w:val="en-US"/>
        </w:rPr>
        <w:t xml:space="preserve">000 anti-Ха IU/0.6 </w:t>
      </w:r>
      <w:r w:rsidR="00D027D1" w:rsidRPr="005F25CA">
        <w:rPr>
          <w:rStyle w:val="42"/>
          <w:i/>
          <w:iCs/>
          <w:sz w:val="24"/>
          <w:szCs w:val="24"/>
          <w:lang w:val="en-US"/>
        </w:rPr>
        <w:t>mL</w:t>
      </w:r>
      <w:r w:rsidRPr="005F25CA">
        <w:rPr>
          <w:rStyle w:val="42"/>
          <w:i/>
          <w:iCs/>
          <w:sz w:val="24"/>
          <w:szCs w:val="24"/>
          <w:lang w:val="en-US"/>
        </w:rPr>
        <w:t>, equivalent to 60 mg of enoxaparin sodium;</w:t>
      </w:r>
    </w:p>
    <w:p w:rsidR="00512251" w:rsidRPr="005F25CA" w:rsidRDefault="006D2195" w:rsidP="002701F5">
      <w:pPr>
        <w:pStyle w:val="41"/>
        <w:shd w:val="clear" w:color="auto" w:fill="auto"/>
        <w:spacing w:line="240" w:lineRule="auto"/>
        <w:jc w:val="both"/>
        <w:rPr>
          <w:sz w:val="24"/>
          <w:szCs w:val="24"/>
          <w:lang w:val="en-US"/>
        </w:rPr>
      </w:pPr>
      <w:r w:rsidRPr="005F25CA">
        <w:rPr>
          <w:rStyle w:val="42"/>
          <w:i/>
          <w:iCs/>
          <w:sz w:val="24"/>
          <w:szCs w:val="24"/>
          <w:lang w:val="en-US"/>
        </w:rPr>
        <w:t>For 8</w:t>
      </w:r>
      <w:r w:rsidR="006919AB" w:rsidRPr="005F25CA">
        <w:rPr>
          <w:rStyle w:val="42"/>
          <w:i/>
          <w:iCs/>
          <w:sz w:val="24"/>
          <w:szCs w:val="24"/>
          <w:lang w:val="en-US"/>
        </w:rPr>
        <w:t>,</w:t>
      </w:r>
      <w:r w:rsidRPr="005F25CA">
        <w:rPr>
          <w:rStyle w:val="42"/>
          <w:i/>
          <w:iCs/>
          <w:sz w:val="24"/>
          <w:szCs w:val="24"/>
          <w:lang w:val="en-US"/>
        </w:rPr>
        <w:t xml:space="preserve">000 anti-Ха IU/0.8 </w:t>
      </w:r>
      <w:r w:rsidR="00D027D1" w:rsidRPr="005F25CA">
        <w:rPr>
          <w:rStyle w:val="42"/>
          <w:i/>
          <w:iCs/>
          <w:sz w:val="24"/>
          <w:szCs w:val="24"/>
          <w:lang w:val="en-US"/>
        </w:rPr>
        <w:t>mL</w:t>
      </w:r>
      <w:r w:rsidRPr="005F25CA">
        <w:rPr>
          <w:rStyle w:val="42"/>
          <w:i/>
          <w:iCs/>
          <w:sz w:val="24"/>
          <w:szCs w:val="24"/>
          <w:lang w:val="en-US"/>
        </w:rPr>
        <w:t>, equivalent to 80 mg of enoxaparin sodium</w:t>
      </w:r>
    </w:p>
    <w:p w:rsidR="00512251" w:rsidRPr="005F25CA" w:rsidRDefault="00920784" w:rsidP="002701F5">
      <w:pPr>
        <w:pStyle w:val="4"/>
        <w:shd w:val="clear" w:color="auto" w:fill="auto"/>
        <w:spacing w:line="240" w:lineRule="auto"/>
        <w:ind w:firstLine="0"/>
        <w:jc w:val="both"/>
        <w:rPr>
          <w:sz w:val="24"/>
          <w:szCs w:val="24"/>
          <w:lang w:val="en-US"/>
        </w:rPr>
      </w:pPr>
      <w:r w:rsidRPr="005F25CA">
        <w:rPr>
          <w:sz w:val="24"/>
          <w:szCs w:val="24"/>
          <w:lang w:val="en-US"/>
        </w:rPr>
        <w:t xml:space="preserve">In a clinical context, there are not yet enough relevant data in order to evaluate a possible </w:t>
      </w:r>
      <w:proofErr w:type="spellStart"/>
      <w:r w:rsidRPr="005F25CA">
        <w:rPr>
          <w:sz w:val="24"/>
          <w:szCs w:val="24"/>
          <w:lang w:val="en-US"/>
        </w:rPr>
        <w:t>teratogenic</w:t>
      </w:r>
      <w:proofErr w:type="spellEnd"/>
      <w:r w:rsidR="00C855E5" w:rsidRPr="005F25CA">
        <w:rPr>
          <w:sz w:val="24"/>
          <w:szCs w:val="24"/>
          <w:lang w:val="en-US"/>
        </w:rPr>
        <w:t xml:space="preserve"> </w:t>
      </w:r>
      <w:r w:rsidRPr="005F25CA">
        <w:rPr>
          <w:sz w:val="24"/>
          <w:szCs w:val="24"/>
          <w:lang w:val="en-US"/>
        </w:rPr>
        <w:t xml:space="preserve">or </w:t>
      </w:r>
      <w:proofErr w:type="spellStart"/>
      <w:r w:rsidR="005F25CA" w:rsidRPr="005F25CA">
        <w:rPr>
          <w:sz w:val="24"/>
          <w:szCs w:val="24"/>
          <w:lang w:val="en-US"/>
        </w:rPr>
        <w:t>f</w:t>
      </w:r>
      <w:r w:rsidR="005F25CA">
        <w:rPr>
          <w:sz w:val="24"/>
          <w:szCs w:val="24"/>
          <w:lang w:val="en-US"/>
        </w:rPr>
        <w:t>e</w:t>
      </w:r>
      <w:r w:rsidR="005F25CA" w:rsidRPr="005F25CA">
        <w:rPr>
          <w:sz w:val="24"/>
          <w:szCs w:val="24"/>
          <w:lang w:val="en-US"/>
        </w:rPr>
        <w:t>totoxic</w:t>
      </w:r>
      <w:proofErr w:type="spellEnd"/>
      <w:r w:rsidRPr="005F25CA">
        <w:rPr>
          <w:sz w:val="24"/>
          <w:szCs w:val="24"/>
          <w:lang w:val="en-US"/>
        </w:rPr>
        <w:t xml:space="preserve"> effect of </w:t>
      </w:r>
      <w:r w:rsidR="00C855E5" w:rsidRPr="005F25CA">
        <w:rPr>
          <w:sz w:val="24"/>
          <w:szCs w:val="24"/>
          <w:lang w:val="en-US"/>
        </w:rPr>
        <w:t>enoxa</w:t>
      </w:r>
      <w:r w:rsidRPr="005F25CA">
        <w:rPr>
          <w:sz w:val="24"/>
          <w:szCs w:val="24"/>
          <w:lang w:val="en-US"/>
        </w:rPr>
        <w:t xml:space="preserve">parin when administered at </w:t>
      </w:r>
      <w:r w:rsidR="00C855E5" w:rsidRPr="005F25CA">
        <w:rPr>
          <w:sz w:val="24"/>
          <w:szCs w:val="24"/>
          <w:lang w:val="en-US"/>
        </w:rPr>
        <w:t>curative</w:t>
      </w:r>
      <w:r w:rsidRPr="005F25CA">
        <w:rPr>
          <w:sz w:val="24"/>
          <w:szCs w:val="24"/>
          <w:lang w:val="en-US"/>
        </w:rPr>
        <w:t xml:space="preserve"> dose</w:t>
      </w:r>
      <w:r w:rsidR="00C855E5" w:rsidRPr="005F25CA">
        <w:rPr>
          <w:sz w:val="24"/>
          <w:szCs w:val="24"/>
          <w:lang w:val="en-US"/>
        </w:rPr>
        <w:t>s</w:t>
      </w:r>
      <w:r w:rsidRPr="005F25CA">
        <w:rPr>
          <w:sz w:val="24"/>
          <w:szCs w:val="24"/>
          <w:lang w:val="en-US"/>
        </w:rPr>
        <w:t xml:space="preserve"> throughout pregnancy</w:t>
      </w:r>
      <w:r w:rsidR="00C855E5" w:rsidRPr="005F25CA">
        <w:rPr>
          <w:sz w:val="24"/>
          <w:szCs w:val="24"/>
          <w:lang w:val="en-US"/>
        </w:rPr>
        <w:t>. Consequently, as a precautionary measure, it is preferable to avoid use of enoxaparin at curative doses throughout pregnancy.</w:t>
      </w:r>
    </w:p>
    <w:p w:rsidR="00512251" w:rsidRPr="005F25CA" w:rsidRDefault="00C855E5" w:rsidP="002701F5">
      <w:pPr>
        <w:pStyle w:val="4"/>
        <w:shd w:val="clear" w:color="auto" w:fill="auto"/>
        <w:spacing w:line="240" w:lineRule="auto"/>
        <w:ind w:firstLine="0"/>
        <w:jc w:val="both"/>
        <w:rPr>
          <w:sz w:val="24"/>
          <w:szCs w:val="24"/>
          <w:lang w:val="en-US"/>
        </w:rPr>
      </w:pPr>
      <w:r w:rsidRPr="005F25CA">
        <w:rPr>
          <w:sz w:val="24"/>
          <w:szCs w:val="24"/>
          <w:lang w:val="en-US"/>
        </w:rPr>
        <w:t>In any case spinal or epidural anesthesia should not be performed in patients receiving treatment with LMWH.</w:t>
      </w:r>
    </w:p>
    <w:p w:rsidR="00512251" w:rsidRPr="005F25CA" w:rsidRDefault="00C855E5" w:rsidP="002701F5">
      <w:pPr>
        <w:pStyle w:val="41"/>
        <w:shd w:val="clear" w:color="auto" w:fill="auto"/>
        <w:spacing w:line="240" w:lineRule="auto"/>
        <w:jc w:val="both"/>
        <w:rPr>
          <w:sz w:val="24"/>
          <w:szCs w:val="24"/>
          <w:lang w:val="en-US"/>
        </w:rPr>
      </w:pPr>
      <w:r w:rsidRPr="005F25CA">
        <w:rPr>
          <w:rStyle w:val="42"/>
          <w:i/>
          <w:iCs/>
          <w:sz w:val="24"/>
          <w:szCs w:val="24"/>
          <w:lang w:val="en-US"/>
        </w:rPr>
        <w:t>Breast-feeding.</w:t>
      </w:r>
    </w:p>
    <w:p w:rsidR="00512251" w:rsidRPr="005F25CA" w:rsidRDefault="00C855E5" w:rsidP="002701F5">
      <w:pPr>
        <w:pStyle w:val="4"/>
        <w:shd w:val="clear" w:color="auto" w:fill="auto"/>
        <w:spacing w:line="240" w:lineRule="auto"/>
        <w:ind w:firstLine="0"/>
        <w:jc w:val="both"/>
        <w:rPr>
          <w:sz w:val="24"/>
          <w:szCs w:val="24"/>
          <w:lang w:val="en-US"/>
        </w:rPr>
      </w:pPr>
      <w:r w:rsidRPr="005F25CA">
        <w:rPr>
          <w:sz w:val="24"/>
          <w:szCs w:val="24"/>
          <w:lang w:val="en-US"/>
        </w:rPr>
        <w:t>Since gastro-intestinal absorption by neonates is unlikely in principle, treatment with enoxaparin is not contraindicated in breast-feeding women.</w:t>
      </w:r>
    </w:p>
    <w:p w:rsidR="007D3B38" w:rsidRPr="005F25CA" w:rsidRDefault="007D3B38" w:rsidP="002701F5">
      <w:pPr>
        <w:pStyle w:val="30"/>
        <w:shd w:val="clear" w:color="auto" w:fill="auto"/>
        <w:spacing w:before="0" w:line="240" w:lineRule="auto"/>
        <w:jc w:val="both"/>
        <w:rPr>
          <w:rStyle w:val="31"/>
          <w:b/>
          <w:bCs/>
          <w:i/>
          <w:iCs/>
          <w:sz w:val="24"/>
          <w:szCs w:val="24"/>
          <w:lang w:val="en-US"/>
        </w:rPr>
      </w:pPr>
    </w:p>
    <w:p w:rsidR="00512251" w:rsidRPr="005F25CA" w:rsidRDefault="00C855E5" w:rsidP="007D3B38">
      <w:pPr>
        <w:pStyle w:val="30"/>
        <w:shd w:val="clear" w:color="auto" w:fill="auto"/>
        <w:spacing w:before="0" w:line="240" w:lineRule="auto"/>
        <w:jc w:val="both"/>
        <w:rPr>
          <w:sz w:val="24"/>
          <w:szCs w:val="24"/>
          <w:lang w:val="en-US"/>
        </w:rPr>
      </w:pPr>
      <w:r w:rsidRPr="005F25CA">
        <w:rPr>
          <w:rStyle w:val="31"/>
          <w:b/>
          <w:bCs/>
          <w:i/>
          <w:iCs/>
          <w:sz w:val="24"/>
          <w:szCs w:val="24"/>
          <w:lang w:val="en-US"/>
        </w:rPr>
        <w:t>Effects on ability to drive and use machines.</w:t>
      </w:r>
    </w:p>
    <w:p w:rsidR="00512251" w:rsidRPr="005F25CA" w:rsidRDefault="00C855E5" w:rsidP="007D3B38">
      <w:pPr>
        <w:pStyle w:val="4"/>
        <w:spacing w:line="240" w:lineRule="auto"/>
        <w:ind w:firstLine="0"/>
        <w:jc w:val="both"/>
        <w:rPr>
          <w:sz w:val="24"/>
          <w:szCs w:val="24"/>
          <w:lang w:val="en-US"/>
        </w:rPr>
      </w:pPr>
      <w:r w:rsidRPr="005F25CA">
        <w:rPr>
          <w:sz w:val="24"/>
          <w:szCs w:val="24"/>
          <w:lang w:val="en-US"/>
        </w:rPr>
        <w:t>Enoxaparin sodium has no effect on the ability to drive and operate machines.</w:t>
      </w:r>
      <w:r w:rsidR="00D36A8D" w:rsidRPr="005F25CA">
        <w:rPr>
          <w:sz w:val="24"/>
          <w:szCs w:val="24"/>
          <w:lang w:val="en-US"/>
        </w:rPr>
        <w:t xml:space="preserve"> </w:t>
      </w:r>
      <w:r w:rsidRPr="005F25CA">
        <w:rPr>
          <w:sz w:val="24"/>
          <w:szCs w:val="24"/>
          <w:lang w:val="en-US"/>
        </w:rPr>
        <w:t>However, care should be taken in view of possible adverse reactions (see</w:t>
      </w:r>
      <w:r w:rsidR="00357141" w:rsidRPr="005F25CA">
        <w:rPr>
          <w:sz w:val="24"/>
          <w:szCs w:val="24"/>
          <w:lang w:val="en-US"/>
        </w:rPr>
        <w:t xml:space="preserve"> </w:t>
      </w:r>
      <w:r w:rsidR="007D3B38" w:rsidRPr="005F25CA">
        <w:rPr>
          <w:sz w:val="24"/>
          <w:szCs w:val="24"/>
          <w:lang w:val="en-US"/>
        </w:rPr>
        <w:t xml:space="preserve">Undesirable </w:t>
      </w:r>
      <w:r w:rsidR="005C2876" w:rsidRPr="005F25CA">
        <w:rPr>
          <w:sz w:val="24"/>
          <w:szCs w:val="24"/>
          <w:lang w:val="en-US"/>
        </w:rPr>
        <w:t>e</w:t>
      </w:r>
      <w:r w:rsidR="007D3B38" w:rsidRPr="005F25CA">
        <w:rPr>
          <w:sz w:val="24"/>
          <w:szCs w:val="24"/>
          <w:lang w:val="en-US"/>
        </w:rPr>
        <w:t>ffect</w:t>
      </w:r>
      <w:r w:rsidRPr="005F25CA">
        <w:rPr>
          <w:sz w:val="24"/>
          <w:szCs w:val="24"/>
          <w:lang w:val="en-US"/>
        </w:rPr>
        <w:t>s).</w:t>
      </w:r>
    </w:p>
    <w:p w:rsidR="007D3B38" w:rsidRPr="005F25CA" w:rsidRDefault="007D3B38" w:rsidP="007D3B38">
      <w:pPr>
        <w:pStyle w:val="30"/>
        <w:shd w:val="clear" w:color="auto" w:fill="auto"/>
        <w:spacing w:before="0" w:line="240" w:lineRule="auto"/>
        <w:jc w:val="both"/>
        <w:rPr>
          <w:sz w:val="24"/>
          <w:szCs w:val="24"/>
          <w:lang w:val="en-US"/>
        </w:rPr>
      </w:pPr>
    </w:p>
    <w:p w:rsidR="00512251" w:rsidRPr="005F25CA" w:rsidRDefault="00357141" w:rsidP="007D3B38">
      <w:pPr>
        <w:pStyle w:val="30"/>
        <w:shd w:val="clear" w:color="auto" w:fill="auto"/>
        <w:spacing w:before="0" w:line="240" w:lineRule="auto"/>
        <w:jc w:val="both"/>
        <w:rPr>
          <w:sz w:val="24"/>
          <w:szCs w:val="24"/>
          <w:lang w:val="en-US"/>
        </w:rPr>
      </w:pPr>
      <w:r w:rsidRPr="005F25CA">
        <w:rPr>
          <w:sz w:val="24"/>
          <w:szCs w:val="24"/>
          <w:lang w:val="en-US"/>
        </w:rPr>
        <w:t>Posology and method of administration.</w:t>
      </w:r>
    </w:p>
    <w:p w:rsidR="00512251" w:rsidRPr="005F25CA" w:rsidRDefault="00012CEE" w:rsidP="007D3B38">
      <w:pPr>
        <w:pStyle w:val="4"/>
        <w:shd w:val="clear" w:color="auto" w:fill="auto"/>
        <w:spacing w:line="240" w:lineRule="auto"/>
        <w:ind w:firstLine="0"/>
        <w:jc w:val="both"/>
        <w:rPr>
          <w:sz w:val="24"/>
          <w:szCs w:val="24"/>
          <w:lang w:val="en-US"/>
        </w:rPr>
      </w:pPr>
      <w:r w:rsidRPr="005F25CA">
        <w:rPr>
          <w:sz w:val="24"/>
          <w:szCs w:val="24"/>
          <w:lang w:val="en-US"/>
        </w:rPr>
        <w:t>1 mg (0.01 mL) of enoxaparin sodium is equivalent to approximately 100 anti-Xa IU.</w:t>
      </w:r>
      <w:r w:rsidR="00D36A8D" w:rsidRPr="005F25CA">
        <w:rPr>
          <w:sz w:val="24"/>
          <w:szCs w:val="24"/>
          <w:lang w:val="en-US"/>
        </w:rPr>
        <w:t xml:space="preserve"> </w:t>
      </w:r>
      <w:r w:rsidRPr="005F25CA">
        <w:rPr>
          <w:sz w:val="24"/>
          <w:szCs w:val="24"/>
          <w:lang w:val="en-US"/>
        </w:rPr>
        <w:t xml:space="preserve">Flenox® should be administered subcutaneously for prophylactic and therapeutic use apart from the </w:t>
      </w:r>
      <w:r w:rsidRPr="005F25CA">
        <w:rPr>
          <w:sz w:val="24"/>
          <w:szCs w:val="24"/>
          <w:lang w:val="en-US"/>
        </w:rPr>
        <w:lastRenderedPageBreak/>
        <w:t>following indications:</w:t>
      </w:r>
    </w:p>
    <w:p w:rsidR="00512251" w:rsidRPr="005F25CA" w:rsidRDefault="001F1E5E" w:rsidP="005C2876">
      <w:pPr>
        <w:pStyle w:val="4"/>
        <w:numPr>
          <w:ilvl w:val="0"/>
          <w:numId w:val="24"/>
        </w:numPr>
        <w:shd w:val="clear" w:color="auto" w:fill="auto"/>
        <w:spacing w:line="240" w:lineRule="auto"/>
        <w:jc w:val="both"/>
        <w:rPr>
          <w:sz w:val="24"/>
          <w:szCs w:val="24"/>
          <w:lang w:val="en-US"/>
        </w:rPr>
      </w:pPr>
      <w:r w:rsidRPr="005F25CA">
        <w:rPr>
          <w:sz w:val="24"/>
          <w:szCs w:val="24"/>
          <w:lang w:val="en-US"/>
        </w:rPr>
        <w:t xml:space="preserve">administration </w:t>
      </w:r>
      <w:r w:rsidR="00012CEE" w:rsidRPr="005F25CA">
        <w:rPr>
          <w:sz w:val="24"/>
          <w:szCs w:val="24"/>
          <w:lang w:val="en-US"/>
        </w:rPr>
        <w:t>for anticoagulation in hemodialysis</w:t>
      </w:r>
      <w:r w:rsidRPr="005F25CA">
        <w:rPr>
          <w:sz w:val="24"/>
          <w:szCs w:val="24"/>
          <w:lang w:val="en-US"/>
        </w:rPr>
        <w:t>;</w:t>
      </w:r>
    </w:p>
    <w:p w:rsidR="00512251" w:rsidRPr="005F25CA" w:rsidRDefault="001F1E5E" w:rsidP="005C2876">
      <w:pPr>
        <w:pStyle w:val="4"/>
        <w:numPr>
          <w:ilvl w:val="0"/>
          <w:numId w:val="24"/>
        </w:numPr>
        <w:shd w:val="clear" w:color="auto" w:fill="auto"/>
        <w:spacing w:line="240" w:lineRule="auto"/>
        <w:jc w:val="both"/>
        <w:rPr>
          <w:sz w:val="24"/>
          <w:szCs w:val="24"/>
          <w:lang w:val="en-US"/>
        </w:rPr>
      </w:pPr>
      <w:r w:rsidRPr="005F25CA">
        <w:rPr>
          <w:sz w:val="24"/>
          <w:szCs w:val="24"/>
          <w:lang w:val="en-US"/>
        </w:rPr>
        <w:t>in patients with acute ST-segment elevation myocardial infarction, in whom IV bolus administration is required.</w:t>
      </w:r>
    </w:p>
    <w:p w:rsidR="00512251" w:rsidRPr="005F25CA" w:rsidRDefault="001F1E5E" w:rsidP="002701F5">
      <w:pPr>
        <w:pStyle w:val="4"/>
        <w:shd w:val="clear" w:color="auto" w:fill="auto"/>
        <w:spacing w:line="240" w:lineRule="auto"/>
        <w:ind w:firstLine="0"/>
        <w:jc w:val="both"/>
        <w:rPr>
          <w:sz w:val="24"/>
          <w:szCs w:val="24"/>
          <w:lang w:val="en-US"/>
        </w:rPr>
      </w:pPr>
      <w:r w:rsidRPr="005F25CA">
        <w:rPr>
          <w:rStyle w:val="a8"/>
          <w:sz w:val="24"/>
          <w:szCs w:val="24"/>
          <w:lang w:val="en-US"/>
        </w:rPr>
        <w:t xml:space="preserve">Do not administer </w:t>
      </w:r>
      <w:r w:rsidRPr="005F25CA">
        <w:rPr>
          <w:b/>
          <w:sz w:val="24"/>
          <w:szCs w:val="24"/>
          <w:lang w:val="en-US"/>
        </w:rPr>
        <w:t>Flenox®</w:t>
      </w:r>
      <w:r w:rsidRPr="005F25CA">
        <w:rPr>
          <w:sz w:val="24"/>
          <w:szCs w:val="24"/>
          <w:lang w:val="en-US"/>
        </w:rPr>
        <w:t xml:space="preserve"> </w:t>
      </w:r>
      <w:r w:rsidRPr="005F25CA">
        <w:rPr>
          <w:rStyle w:val="a8"/>
          <w:sz w:val="24"/>
          <w:szCs w:val="24"/>
          <w:lang w:val="en-US"/>
        </w:rPr>
        <w:t>by the intramuscular route.</w:t>
      </w:r>
      <w:r w:rsidR="00D36A8D" w:rsidRPr="005F25CA">
        <w:rPr>
          <w:rStyle w:val="a8"/>
          <w:sz w:val="24"/>
          <w:szCs w:val="24"/>
          <w:lang w:val="en-US"/>
        </w:rPr>
        <w:t xml:space="preserve"> </w:t>
      </w:r>
      <w:r w:rsidRPr="005F25CA">
        <w:rPr>
          <w:sz w:val="24"/>
          <w:szCs w:val="24"/>
          <w:lang w:val="en-US"/>
        </w:rPr>
        <w:t>This drug is suitable for adults only.</w:t>
      </w:r>
    </w:p>
    <w:p w:rsidR="00512251" w:rsidRPr="005F25CA" w:rsidRDefault="001F1E5E" w:rsidP="002701F5">
      <w:pPr>
        <w:pStyle w:val="4"/>
        <w:shd w:val="clear" w:color="auto" w:fill="auto"/>
        <w:spacing w:line="240" w:lineRule="auto"/>
        <w:ind w:firstLine="0"/>
        <w:jc w:val="both"/>
        <w:rPr>
          <w:sz w:val="24"/>
          <w:szCs w:val="24"/>
          <w:lang w:val="en-US"/>
        </w:rPr>
      </w:pPr>
      <w:r w:rsidRPr="005F25CA">
        <w:rPr>
          <w:rStyle w:val="a7"/>
          <w:sz w:val="24"/>
          <w:szCs w:val="24"/>
          <w:lang w:val="en-US"/>
        </w:rPr>
        <w:t>Subcutaneous injection technique.</w:t>
      </w:r>
      <w:r w:rsidR="00D36A8D" w:rsidRPr="005F25CA">
        <w:rPr>
          <w:rStyle w:val="TrebuchetMS75pt0pt"/>
          <w:rFonts w:ascii="Times New Roman" w:hAnsi="Times New Roman" w:cs="Times New Roman"/>
          <w:spacing w:val="0"/>
          <w:sz w:val="24"/>
          <w:szCs w:val="24"/>
          <w:lang w:val="en-US"/>
        </w:rPr>
        <w:t xml:space="preserve"> </w:t>
      </w:r>
      <w:r w:rsidR="005A55F7" w:rsidRPr="005F25CA">
        <w:rPr>
          <w:sz w:val="24"/>
          <w:szCs w:val="24"/>
          <w:lang w:val="en-US"/>
        </w:rPr>
        <w:t>The prefilled syringe is ready for immediate use.</w:t>
      </w:r>
      <w:r w:rsidR="00D36A8D" w:rsidRPr="005F25CA">
        <w:rPr>
          <w:sz w:val="24"/>
          <w:szCs w:val="24"/>
          <w:lang w:val="en-US"/>
        </w:rPr>
        <w:t xml:space="preserve"> </w:t>
      </w:r>
      <w:r w:rsidR="00614B3F" w:rsidRPr="005F25CA">
        <w:rPr>
          <w:sz w:val="24"/>
          <w:szCs w:val="24"/>
          <w:lang w:val="en-US" w:eastAsia="en-US" w:bidi="en-US"/>
        </w:rPr>
        <w:t xml:space="preserve">The dose of </w:t>
      </w:r>
      <w:r w:rsidR="00614B3F" w:rsidRPr="005F25CA">
        <w:rPr>
          <w:sz w:val="24"/>
          <w:szCs w:val="24"/>
          <w:lang w:val="en-US"/>
        </w:rPr>
        <w:t>Flenox®</w:t>
      </w:r>
      <w:r w:rsidR="00614B3F" w:rsidRPr="005F25CA">
        <w:rPr>
          <w:sz w:val="24"/>
          <w:szCs w:val="24"/>
          <w:lang w:val="en-US" w:eastAsia="en-US" w:bidi="en-US"/>
        </w:rPr>
        <w:t xml:space="preserve"> can be adjusted according to patient</w:t>
      </w:r>
      <w:r w:rsidR="005C2876" w:rsidRPr="005F25CA">
        <w:rPr>
          <w:sz w:val="24"/>
          <w:szCs w:val="24"/>
          <w:lang w:val="en-US" w:eastAsia="en-US" w:bidi="en-US"/>
        </w:rPr>
        <w:t>’s</w:t>
      </w:r>
      <w:r w:rsidR="00614B3F" w:rsidRPr="005F25CA">
        <w:rPr>
          <w:sz w:val="24"/>
          <w:szCs w:val="24"/>
          <w:lang w:val="en-US" w:eastAsia="en-US" w:bidi="en-US"/>
        </w:rPr>
        <w:t xml:space="preserve"> bodyweight if required.</w:t>
      </w:r>
      <w:r w:rsidR="00D36A8D" w:rsidRPr="005F25CA">
        <w:rPr>
          <w:sz w:val="24"/>
          <w:szCs w:val="24"/>
          <w:lang w:val="en-US"/>
        </w:rPr>
        <w:t xml:space="preserve"> </w:t>
      </w:r>
      <w:r w:rsidR="00614B3F" w:rsidRPr="005F25CA">
        <w:rPr>
          <w:sz w:val="24"/>
          <w:szCs w:val="24"/>
          <w:lang w:val="en-US" w:eastAsia="en-US" w:bidi="en-US"/>
        </w:rPr>
        <w:t>Any excess volume can be discarded before administering the injection</w:t>
      </w:r>
      <w:r w:rsidR="005C2876" w:rsidRPr="005F25CA">
        <w:rPr>
          <w:sz w:val="24"/>
          <w:szCs w:val="24"/>
          <w:lang w:val="en-US" w:eastAsia="en-US" w:bidi="en-US"/>
        </w:rPr>
        <w:t xml:space="preserve"> if required</w:t>
      </w:r>
      <w:r w:rsidR="00614B3F" w:rsidRPr="005F25CA">
        <w:rPr>
          <w:sz w:val="24"/>
          <w:szCs w:val="24"/>
          <w:lang w:val="en-US" w:eastAsia="en-US" w:bidi="en-US"/>
        </w:rPr>
        <w:t>.</w:t>
      </w:r>
      <w:r w:rsidR="00D36A8D" w:rsidRPr="005F25CA">
        <w:rPr>
          <w:sz w:val="24"/>
          <w:szCs w:val="24"/>
          <w:lang w:val="en-US"/>
        </w:rPr>
        <w:t xml:space="preserve"> </w:t>
      </w:r>
      <w:r w:rsidR="00614B3F" w:rsidRPr="005F25CA">
        <w:rPr>
          <w:sz w:val="24"/>
          <w:szCs w:val="24"/>
          <w:lang w:val="en-US" w:eastAsia="en-US" w:bidi="en-US"/>
        </w:rPr>
        <w:t xml:space="preserve">When there is no excess volume, </w:t>
      </w:r>
      <w:r w:rsidR="00614B3F" w:rsidRPr="005F25CA">
        <w:rPr>
          <w:sz w:val="24"/>
          <w:szCs w:val="24"/>
          <w:u w:val="single"/>
          <w:lang w:val="en-US" w:eastAsia="en-US" w:bidi="en-US"/>
        </w:rPr>
        <w:t>the air should not be expelled from the syringe before the injection.</w:t>
      </w:r>
    </w:p>
    <w:p w:rsidR="00A84FA5" w:rsidRPr="005F25CA" w:rsidRDefault="00D5054B" w:rsidP="002701F5">
      <w:pPr>
        <w:pStyle w:val="4"/>
        <w:shd w:val="clear" w:color="auto" w:fill="auto"/>
        <w:spacing w:line="240" w:lineRule="auto"/>
        <w:ind w:firstLine="0"/>
        <w:jc w:val="both"/>
        <w:rPr>
          <w:sz w:val="24"/>
          <w:szCs w:val="24"/>
          <w:lang w:val="en-US"/>
        </w:rPr>
      </w:pPr>
      <w:r w:rsidRPr="005F25CA">
        <w:rPr>
          <w:sz w:val="24"/>
          <w:szCs w:val="24"/>
          <w:lang w:val="en-US"/>
        </w:rPr>
        <w:t>Flenox® should be administered by injection into the subcutaneous tissue, preferably with the patient supine.</w:t>
      </w:r>
      <w:r w:rsidR="00D36A8D" w:rsidRPr="005F25CA">
        <w:rPr>
          <w:sz w:val="24"/>
          <w:szCs w:val="24"/>
          <w:lang w:val="en-US"/>
        </w:rPr>
        <w:t xml:space="preserve"> </w:t>
      </w:r>
      <w:r w:rsidRPr="005F25CA">
        <w:rPr>
          <w:sz w:val="24"/>
          <w:szCs w:val="24"/>
          <w:lang w:val="en-US"/>
        </w:rPr>
        <w:t xml:space="preserve">Administration should be alternated between the left and right anterolateral and </w:t>
      </w:r>
      <w:proofErr w:type="spellStart"/>
      <w:r w:rsidRPr="005F25CA">
        <w:rPr>
          <w:sz w:val="24"/>
          <w:szCs w:val="24"/>
          <w:lang w:val="en-US"/>
        </w:rPr>
        <w:t>posterolateral</w:t>
      </w:r>
      <w:proofErr w:type="spellEnd"/>
      <w:r w:rsidRPr="005F25CA">
        <w:rPr>
          <w:sz w:val="24"/>
          <w:szCs w:val="24"/>
          <w:lang w:val="en-US"/>
        </w:rPr>
        <w:t xml:space="preserve"> abdominal walls.</w:t>
      </w:r>
      <w:r w:rsidR="00D36A8D" w:rsidRPr="005F25CA">
        <w:rPr>
          <w:sz w:val="24"/>
          <w:szCs w:val="24"/>
          <w:lang w:val="en-US"/>
        </w:rPr>
        <w:t xml:space="preserve"> </w:t>
      </w:r>
      <w:r w:rsidRPr="005F25CA">
        <w:rPr>
          <w:sz w:val="24"/>
          <w:szCs w:val="24"/>
          <w:lang w:val="en-US"/>
        </w:rPr>
        <w:t xml:space="preserve">The whole length of the needle should be inserted </w:t>
      </w:r>
      <w:r w:rsidR="005C2876" w:rsidRPr="005F25CA">
        <w:rPr>
          <w:sz w:val="24"/>
          <w:szCs w:val="24"/>
          <w:lang w:val="en-US"/>
        </w:rPr>
        <w:t>vertic</w:t>
      </w:r>
      <w:r w:rsidRPr="005F25CA">
        <w:rPr>
          <w:sz w:val="24"/>
          <w:szCs w:val="24"/>
          <w:lang w:val="en-US"/>
        </w:rPr>
        <w:t>a</w:t>
      </w:r>
      <w:r w:rsidR="005C2876" w:rsidRPr="005F25CA">
        <w:rPr>
          <w:sz w:val="24"/>
          <w:szCs w:val="24"/>
          <w:lang w:val="en-US"/>
        </w:rPr>
        <w:t>l</w:t>
      </w:r>
      <w:r w:rsidRPr="005F25CA">
        <w:rPr>
          <w:sz w:val="24"/>
          <w:szCs w:val="24"/>
          <w:lang w:val="en-US"/>
        </w:rPr>
        <w:t>ly, not from the side, into a skin fold held between the thumb and forefinger.</w:t>
      </w:r>
      <w:r w:rsidR="00D36A8D" w:rsidRPr="005F25CA">
        <w:rPr>
          <w:sz w:val="24"/>
          <w:szCs w:val="24"/>
          <w:lang w:val="en-US"/>
        </w:rPr>
        <w:t xml:space="preserve"> </w:t>
      </w:r>
      <w:r w:rsidRPr="005F25CA">
        <w:rPr>
          <w:sz w:val="24"/>
          <w:szCs w:val="24"/>
          <w:lang w:val="en-US"/>
        </w:rPr>
        <w:t>This skin fold should be held throughout the injection.</w:t>
      </w:r>
      <w:r w:rsidR="00D36A8D" w:rsidRPr="005F25CA">
        <w:rPr>
          <w:sz w:val="24"/>
          <w:szCs w:val="24"/>
          <w:lang w:val="en-US"/>
        </w:rPr>
        <w:t xml:space="preserve"> </w:t>
      </w:r>
      <w:r w:rsidRPr="005F25CA">
        <w:rPr>
          <w:sz w:val="24"/>
          <w:szCs w:val="24"/>
          <w:lang w:val="en-US"/>
        </w:rPr>
        <w:t>Do not rub the injection site after administration</w:t>
      </w:r>
      <w:r w:rsidR="00D36A8D" w:rsidRPr="005F25CA">
        <w:rPr>
          <w:sz w:val="24"/>
          <w:szCs w:val="24"/>
          <w:lang w:val="en-US"/>
        </w:rPr>
        <w:t xml:space="preserve">. </w:t>
      </w:r>
    </w:p>
    <w:p w:rsidR="00512251" w:rsidRPr="005F25CA" w:rsidRDefault="000574A8" w:rsidP="002701F5">
      <w:pPr>
        <w:pStyle w:val="4"/>
        <w:shd w:val="clear" w:color="auto" w:fill="auto"/>
        <w:spacing w:line="240" w:lineRule="auto"/>
        <w:ind w:firstLine="0"/>
        <w:jc w:val="both"/>
        <w:rPr>
          <w:sz w:val="24"/>
          <w:szCs w:val="24"/>
          <w:lang w:val="en-US"/>
        </w:rPr>
      </w:pPr>
      <w:bookmarkStart w:id="4" w:name="bookmark8"/>
      <w:r w:rsidRPr="005F25CA">
        <w:rPr>
          <w:rStyle w:val="a9"/>
          <w:sz w:val="24"/>
          <w:szCs w:val="24"/>
          <w:u w:val="none"/>
          <w:lang w:val="en-US"/>
        </w:rPr>
        <w:t xml:space="preserve">Intravenous (bolus) injection technique of </w:t>
      </w:r>
      <w:r w:rsidRPr="005F25CA">
        <w:rPr>
          <w:i/>
          <w:sz w:val="24"/>
          <w:szCs w:val="24"/>
          <w:lang w:val="en-US"/>
        </w:rPr>
        <w:t xml:space="preserve">Flenox® </w:t>
      </w:r>
      <w:r w:rsidRPr="005F25CA">
        <w:rPr>
          <w:rStyle w:val="a9"/>
          <w:sz w:val="24"/>
          <w:szCs w:val="24"/>
          <w:u w:val="none"/>
          <w:lang w:val="en-US"/>
        </w:rPr>
        <w:t>for the treatment of acute ST-segment elevation myocardial infarction</w:t>
      </w:r>
      <w:bookmarkEnd w:id="4"/>
      <w:r w:rsidR="005C2876" w:rsidRPr="005F25CA">
        <w:rPr>
          <w:rStyle w:val="a9"/>
          <w:sz w:val="24"/>
          <w:szCs w:val="24"/>
          <w:u w:val="none"/>
          <w:lang w:val="en-US"/>
        </w:rPr>
        <w:t>.</w:t>
      </w:r>
    </w:p>
    <w:p w:rsidR="00512251" w:rsidRPr="005F25CA" w:rsidRDefault="000574A8" w:rsidP="002701F5">
      <w:pPr>
        <w:pStyle w:val="4"/>
        <w:spacing w:line="240" w:lineRule="auto"/>
        <w:ind w:firstLine="0"/>
        <w:jc w:val="both"/>
        <w:rPr>
          <w:sz w:val="24"/>
          <w:szCs w:val="24"/>
          <w:lang w:val="en-US"/>
        </w:rPr>
      </w:pPr>
      <w:r w:rsidRPr="005F25CA">
        <w:rPr>
          <w:sz w:val="24"/>
          <w:szCs w:val="24"/>
          <w:lang w:val="en-US"/>
        </w:rPr>
        <w:t>Treatment is initiated with an IV bolus injection, immediately followed by an SC injection</w:t>
      </w:r>
      <w:r w:rsidR="00D36A8D" w:rsidRPr="005F25CA">
        <w:rPr>
          <w:sz w:val="24"/>
          <w:szCs w:val="24"/>
          <w:lang w:val="en-US"/>
        </w:rPr>
        <w:t xml:space="preserve">. </w:t>
      </w:r>
      <w:r w:rsidRPr="005F25CA">
        <w:rPr>
          <w:sz w:val="24"/>
          <w:szCs w:val="24"/>
          <w:lang w:val="en-US"/>
        </w:rPr>
        <w:t xml:space="preserve">For the intravenous bolus of pre-filled graduated syringe with Flenox® containing 40 mg (0.4 </w:t>
      </w:r>
      <w:r w:rsidR="00D027D1" w:rsidRPr="005F25CA">
        <w:rPr>
          <w:sz w:val="24"/>
          <w:szCs w:val="24"/>
          <w:lang w:val="en-US"/>
        </w:rPr>
        <w:t>mL</w:t>
      </w:r>
      <w:r w:rsidRPr="005F25CA">
        <w:rPr>
          <w:sz w:val="24"/>
          <w:szCs w:val="24"/>
          <w:lang w:val="en-US"/>
        </w:rPr>
        <w:t xml:space="preserve">, 4,000 anti-Xa IU), 60 mg (0.6 </w:t>
      </w:r>
      <w:r w:rsidR="00D027D1" w:rsidRPr="005F25CA">
        <w:rPr>
          <w:sz w:val="24"/>
          <w:szCs w:val="24"/>
          <w:lang w:val="en-US"/>
        </w:rPr>
        <w:t>mL</w:t>
      </w:r>
      <w:r w:rsidRPr="005F25CA">
        <w:rPr>
          <w:sz w:val="24"/>
          <w:szCs w:val="24"/>
          <w:lang w:val="en-US"/>
        </w:rPr>
        <w:t xml:space="preserve">, 6,000 anti-Xa IU) or 80 mg (0 8 </w:t>
      </w:r>
      <w:r w:rsidR="00D027D1" w:rsidRPr="005F25CA">
        <w:rPr>
          <w:sz w:val="24"/>
          <w:szCs w:val="24"/>
          <w:lang w:val="en-US"/>
        </w:rPr>
        <w:t>mL</w:t>
      </w:r>
      <w:r w:rsidRPr="005F25CA">
        <w:rPr>
          <w:sz w:val="24"/>
          <w:szCs w:val="24"/>
          <w:lang w:val="en-US"/>
        </w:rPr>
        <w:t xml:space="preserve"> 8</w:t>
      </w:r>
      <w:r w:rsidR="002E3505" w:rsidRPr="005F25CA">
        <w:rPr>
          <w:sz w:val="24"/>
          <w:szCs w:val="24"/>
          <w:lang w:val="en-US"/>
        </w:rPr>
        <w:t>,</w:t>
      </w:r>
      <w:r w:rsidRPr="005F25CA">
        <w:rPr>
          <w:sz w:val="24"/>
          <w:szCs w:val="24"/>
          <w:lang w:val="en-US"/>
        </w:rPr>
        <w:t xml:space="preserve">000 anti-Xa IU), remove the excess amount of the drug to leave the dose of 30 mg (0.3 </w:t>
      </w:r>
      <w:r w:rsidR="00D027D1" w:rsidRPr="005F25CA">
        <w:rPr>
          <w:sz w:val="24"/>
          <w:szCs w:val="24"/>
          <w:lang w:val="en-US"/>
        </w:rPr>
        <w:t>mL</w:t>
      </w:r>
      <w:r w:rsidRPr="005F25CA">
        <w:rPr>
          <w:sz w:val="24"/>
          <w:szCs w:val="24"/>
          <w:lang w:val="en-US"/>
        </w:rPr>
        <w:t>, 3,000 anti-Xa IU) in the syringe.</w:t>
      </w:r>
    </w:p>
    <w:p w:rsidR="00512251" w:rsidRPr="005F25CA" w:rsidRDefault="000574A8" w:rsidP="002701F5">
      <w:pPr>
        <w:pStyle w:val="4"/>
        <w:spacing w:line="240" w:lineRule="auto"/>
        <w:ind w:firstLine="0"/>
        <w:jc w:val="both"/>
        <w:rPr>
          <w:sz w:val="24"/>
          <w:szCs w:val="24"/>
          <w:lang w:val="en-US"/>
        </w:rPr>
      </w:pPr>
      <w:r w:rsidRPr="005F25CA">
        <w:rPr>
          <w:sz w:val="24"/>
          <w:szCs w:val="24"/>
          <w:lang w:val="en-US"/>
        </w:rPr>
        <w:t>This dose of Flenox® should be injected into a venous line, and must not be mixed or administered with other medicinal products</w:t>
      </w:r>
      <w:r w:rsidR="00D36A8D" w:rsidRPr="005F25CA">
        <w:rPr>
          <w:sz w:val="24"/>
          <w:szCs w:val="24"/>
          <w:lang w:val="en-US"/>
        </w:rPr>
        <w:t xml:space="preserve">. </w:t>
      </w:r>
      <w:r w:rsidRPr="005F25CA">
        <w:rPr>
          <w:sz w:val="24"/>
          <w:szCs w:val="24"/>
          <w:lang w:val="en-US"/>
        </w:rPr>
        <w:t>To avoid any traces of other medicinal products and therefore to prevent them from mixing with Flenox®, the injection line must be rinsed with a sufficient quantity of normal saline or glucose solution before and after IV bolus injection of Flenox®. Enoxaparin can be safely administered with the sufficient amount of 0.9% normal saline solution or 5% glucose solution</w:t>
      </w:r>
      <w:r w:rsidR="00D36A8D" w:rsidRPr="005F25CA">
        <w:rPr>
          <w:sz w:val="24"/>
          <w:szCs w:val="24"/>
          <w:lang w:val="en-US"/>
        </w:rPr>
        <w:t xml:space="preserve">. </w:t>
      </w:r>
      <w:r w:rsidR="004F2326" w:rsidRPr="005F25CA">
        <w:rPr>
          <w:sz w:val="24"/>
          <w:szCs w:val="24"/>
          <w:lang w:val="en-US"/>
        </w:rPr>
        <w:t>Flenox® can be safely administered with 0.9% normal saline solution or 5% glucose solution</w:t>
      </w:r>
      <w:r w:rsidR="00D36A8D" w:rsidRPr="005F25CA">
        <w:rPr>
          <w:sz w:val="24"/>
          <w:szCs w:val="24"/>
          <w:lang w:val="en-US"/>
        </w:rPr>
        <w:t>.</w:t>
      </w:r>
    </w:p>
    <w:p w:rsidR="006B42EB" w:rsidRPr="005F25CA" w:rsidRDefault="006B42EB" w:rsidP="002701F5">
      <w:pPr>
        <w:pStyle w:val="4"/>
        <w:spacing w:line="240" w:lineRule="auto"/>
        <w:ind w:firstLine="0"/>
        <w:rPr>
          <w:sz w:val="24"/>
          <w:szCs w:val="24"/>
          <w:lang w:val="en-US"/>
        </w:rPr>
      </w:pPr>
      <w:r w:rsidRPr="005F25CA">
        <w:rPr>
          <w:sz w:val="24"/>
          <w:szCs w:val="24"/>
          <w:lang w:val="en-US"/>
        </w:rPr>
        <w:t>In the hospital setting, Flenox® can be used to:</w:t>
      </w:r>
    </w:p>
    <w:p w:rsidR="006B42EB" w:rsidRPr="005F25CA" w:rsidRDefault="006B42EB" w:rsidP="002E3505">
      <w:pPr>
        <w:pStyle w:val="4"/>
        <w:numPr>
          <w:ilvl w:val="0"/>
          <w:numId w:val="26"/>
        </w:numPr>
        <w:spacing w:line="240" w:lineRule="auto"/>
        <w:jc w:val="both"/>
        <w:rPr>
          <w:sz w:val="24"/>
          <w:szCs w:val="24"/>
          <w:lang w:val="en-US"/>
        </w:rPr>
      </w:pPr>
      <w:r w:rsidRPr="005F25CA">
        <w:rPr>
          <w:sz w:val="24"/>
          <w:szCs w:val="24"/>
          <w:lang w:val="en-US"/>
        </w:rPr>
        <w:t>obtain the required 1mg/kg (100 anti-Xa IU/kg) dose for the first SC injection, to be given along with the IV bolus, and then the required 1mg/kg (100 anti-Xa IU/kg) doses for SC injection, repeated every 12 hours,</w:t>
      </w:r>
    </w:p>
    <w:p w:rsidR="00512251" w:rsidRPr="005F25CA" w:rsidRDefault="006B42EB" w:rsidP="002E3505">
      <w:pPr>
        <w:pStyle w:val="4"/>
        <w:numPr>
          <w:ilvl w:val="0"/>
          <w:numId w:val="26"/>
        </w:numPr>
        <w:spacing w:line="240" w:lineRule="auto"/>
        <w:jc w:val="both"/>
        <w:rPr>
          <w:sz w:val="24"/>
          <w:szCs w:val="24"/>
          <w:lang w:val="en-US"/>
        </w:rPr>
      </w:pPr>
      <w:r w:rsidRPr="005F25CA">
        <w:rPr>
          <w:sz w:val="24"/>
          <w:szCs w:val="24"/>
          <w:lang w:val="en-US"/>
        </w:rPr>
        <w:t>obtain the 0.3 mg/kg (30 anti-Xa IU/kg) dose for IV bolus injection for patients undergoing subsequent coronary angioplasty.</w:t>
      </w:r>
    </w:p>
    <w:p w:rsidR="00512251" w:rsidRPr="005F25CA" w:rsidRDefault="00231638" w:rsidP="002E3505">
      <w:pPr>
        <w:pStyle w:val="4"/>
        <w:shd w:val="clear" w:color="auto" w:fill="auto"/>
        <w:spacing w:line="240" w:lineRule="auto"/>
        <w:ind w:firstLine="0"/>
        <w:jc w:val="both"/>
        <w:rPr>
          <w:sz w:val="24"/>
          <w:szCs w:val="24"/>
          <w:lang w:val="en-US"/>
        </w:rPr>
      </w:pPr>
      <w:r w:rsidRPr="005F25CA">
        <w:rPr>
          <w:sz w:val="24"/>
          <w:szCs w:val="24"/>
          <w:u w:val="single"/>
          <w:lang w:val="en-US"/>
        </w:rPr>
        <w:t>Regular monitoring of the platelet count is essential throughout the treatment due to the risk of heparin-induced thrombocytopenia (HIT)</w:t>
      </w:r>
      <w:r w:rsidR="00D36A8D" w:rsidRPr="005F25CA">
        <w:rPr>
          <w:rStyle w:val="11"/>
          <w:sz w:val="24"/>
          <w:szCs w:val="24"/>
          <w:lang w:val="en-US"/>
        </w:rPr>
        <w:t>.</w:t>
      </w:r>
    </w:p>
    <w:p w:rsidR="00512251" w:rsidRPr="005F25CA" w:rsidRDefault="00E218C5" w:rsidP="002E3505">
      <w:pPr>
        <w:pStyle w:val="30"/>
        <w:shd w:val="clear" w:color="auto" w:fill="auto"/>
        <w:spacing w:before="0" w:line="240" w:lineRule="auto"/>
        <w:jc w:val="both"/>
        <w:rPr>
          <w:sz w:val="24"/>
          <w:szCs w:val="24"/>
          <w:lang w:val="en-US"/>
        </w:rPr>
      </w:pPr>
      <w:r w:rsidRPr="005F25CA">
        <w:rPr>
          <w:sz w:val="24"/>
          <w:szCs w:val="24"/>
          <w:lang w:val="en-US"/>
        </w:rPr>
        <w:t xml:space="preserve">Prophylactic treatment of venous thromboembolic disease in surgery associated with moderate to high </w:t>
      </w:r>
      <w:proofErr w:type="spellStart"/>
      <w:r w:rsidRPr="005F25CA">
        <w:rPr>
          <w:sz w:val="24"/>
          <w:szCs w:val="24"/>
          <w:lang w:val="en-US"/>
        </w:rPr>
        <w:t>thrombogenic</w:t>
      </w:r>
      <w:proofErr w:type="spellEnd"/>
      <w:r w:rsidRPr="005F25CA">
        <w:rPr>
          <w:sz w:val="24"/>
          <w:szCs w:val="24"/>
          <w:lang w:val="en-US"/>
        </w:rPr>
        <w:t xml:space="preserve"> risk</w:t>
      </w:r>
      <w:r w:rsidR="00D36A8D" w:rsidRPr="005F25CA">
        <w:rPr>
          <w:sz w:val="24"/>
          <w:szCs w:val="24"/>
          <w:lang w:val="en-US"/>
        </w:rPr>
        <w:t>.</w:t>
      </w:r>
    </w:p>
    <w:p w:rsidR="00512251" w:rsidRPr="005F25CA" w:rsidRDefault="000D5F9F" w:rsidP="002E3505">
      <w:pPr>
        <w:pStyle w:val="4"/>
        <w:spacing w:line="240" w:lineRule="auto"/>
        <w:ind w:firstLine="0"/>
        <w:jc w:val="both"/>
        <w:rPr>
          <w:sz w:val="24"/>
          <w:szCs w:val="24"/>
          <w:lang w:val="en-US"/>
        </w:rPr>
      </w:pPr>
      <w:r w:rsidRPr="005F25CA">
        <w:rPr>
          <w:sz w:val="24"/>
          <w:szCs w:val="24"/>
          <w:lang w:val="en-US"/>
        </w:rPr>
        <w:t>As a general rule, these recommendations apply to surgical procedures carried out under general anesthesia.</w:t>
      </w:r>
    </w:p>
    <w:p w:rsidR="00512251" w:rsidRPr="005F25CA" w:rsidRDefault="008D5ADC" w:rsidP="002E3505">
      <w:pPr>
        <w:pStyle w:val="4"/>
        <w:spacing w:line="240" w:lineRule="auto"/>
        <w:ind w:firstLine="0"/>
        <w:jc w:val="both"/>
        <w:rPr>
          <w:sz w:val="24"/>
          <w:szCs w:val="24"/>
          <w:lang w:val="en-US"/>
        </w:rPr>
      </w:pPr>
      <w:r w:rsidRPr="005F25CA">
        <w:rPr>
          <w:sz w:val="24"/>
          <w:szCs w:val="24"/>
          <w:lang w:val="en-US"/>
        </w:rPr>
        <w:t>For spinal and epidural anesthesia techniques, the benefit of a pre-operative injection of enoxaparin should be weighed against the theoretically increased risk of spinal hematoma (see Special warnings and precautions for use)</w:t>
      </w:r>
      <w:r w:rsidR="00D36A8D" w:rsidRPr="005F25CA">
        <w:rPr>
          <w:sz w:val="24"/>
          <w:szCs w:val="24"/>
          <w:lang w:val="en-US"/>
        </w:rPr>
        <w:t>.</w:t>
      </w:r>
    </w:p>
    <w:p w:rsidR="00512251" w:rsidRPr="005F25CA" w:rsidRDefault="008D5ADC" w:rsidP="002E3505">
      <w:pPr>
        <w:pStyle w:val="4"/>
        <w:numPr>
          <w:ilvl w:val="0"/>
          <w:numId w:val="27"/>
        </w:numPr>
        <w:shd w:val="clear" w:color="auto" w:fill="auto"/>
        <w:spacing w:line="240" w:lineRule="auto"/>
        <w:jc w:val="both"/>
        <w:rPr>
          <w:sz w:val="24"/>
          <w:szCs w:val="24"/>
          <w:lang w:val="en-US"/>
        </w:rPr>
      </w:pPr>
      <w:r w:rsidRPr="005F25CA">
        <w:rPr>
          <w:rStyle w:val="a7"/>
          <w:sz w:val="24"/>
          <w:szCs w:val="24"/>
          <w:lang w:val="en-US"/>
        </w:rPr>
        <w:t>Administration schedule</w:t>
      </w:r>
      <w:r w:rsidR="00D36A8D" w:rsidRPr="005F25CA">
        <w:rPr>
          <w:rStyle w:val="a7"/>
          <w:sz w:val="24"/>
          <w:szCs w:val="24"/>
          <w:lang w:val="en-US"/>
        </w:rPr>
        <w:t>.</w:t>
      </w:r>
      <w:r w:rsidR="00D36A8D" w:rsidRPr="005F25CA">
        <w:rPr>
          <w:rStyle w:val="TrebuchetMS75pt0pt"/>
          <w:rFonts w:ascii="Times New Roman" w:hAnsi="Times New Roman" w:cs="Times New Roman"/>
          <w:spacing w:val="0"/>
          <w:sz w:val="24"/>
          <w:szCs w:val="24"/>
          <w:lang w:val="en-US"/>
        </w:rPr>
        <w:t xml:space="preserve"> </w:t>
      </w:r>
      <w:r w:rsidR="00075D90" w:rsidRPr="005F25CA">
        <w:rPr>
          <w:rStyle w:val="TrebuchetMS75pt0pt"/>
          <w:rFonts w:ascii="Times New Roman" w:hAnsi="Times New Roman" w:cs="Times New Roman"/>
          <w:spacing w:val="0"/>
          <w:sz w:val="24"/>
          <w:szCs w:val="24"/>
          <w:lang w:val="en-US"/>
        </w:rPr>
        <w:t>One subcutaneous injection of Flenox</w:t>
      </w:r>
      <w:proofErr w:type="gramStart"/>
      <w:r w:rsidR="00075D90" w:rsidRPr="005F25CA">
        <w:rPr>
          <w:rStyle w:val="TrebuchetMS75pt0pt"/>
          <w:rFonts w:ascii="Times New Roman" w:hAnsi="Times New Roman" w:cs="Times New Roman"/>
          <w:spacing w:val="0"/>
          <w:sz w:val="24"/>
          <w:szCs w:val="24"/>
          <w:lang w:val="en-US"/>
        </w:rPr>
        <w:t>®  daily</w:t>
      </w:r>
      <w:proofErr w:type="gramEnd"/>
      <w:r w:rsidR="00D36A8D" w:rsidRPr="005F25CA">
        <w:rPr>
          <w:sz w:val="24"/>
          <w:szCs w:val="24"/>
          <w:lang w:val="en-US"/>
        </w:rPr>
        <w:t>.</w:t>
      </w:r>
    </w:p>
    <w:p w:rsidR="00512251" w:rsidRPr="005F25CA" w:rsidRDefault="00075D90" w:rsidP="002E3505">
      <w:pPr>
        <w:pStyle w:val="4"/>
        <w:numPr>
          <w:ilvl w:val="0"/>
          <w:numId w:val="27"/>
        </w:numPr>
        <w:shd w:val="clear" w:color="auto" w:fill="auto"/>
        <w:spacing w:line="240" w:lineRule="auto"/>
        <w:jc w:val="both"/>
        <w:rPr>
          <w:sz w:val="24"/>
          <w:szCs w:val="24"/>
          <w:lang w:val="en-US"/>
        </w:rPr>
      </w:pPr>
      <w:r w:rsidRPr="005F25CA">
        <w:rPr>
          <w:rStyle w:val="a7"/>
          <w:sz w:val="24"/>
          <w:szCs w:val="24"/>
          <w:lang w:val="en-US"/>
        </w:rPr>
        <w:t>Dose</w:t>
      </w:r>
      <w:r w:rsidR="00D36A8D" w:rsidRPr="005F25CA">
        <w:rPr>
          <w:rStyle w:val="a7"/>
          <w:sz w:val="24"/>
          <w:szCs w:val="24"/>
          <w:lang w:val="en-US"/>
        </w:rPr>
        <w:t>.</w:t>
      </w:r>
      <w:r w:rsidR="00D36A8D" w:rsidRPr="005F25CA">
        <w:rPr>
          <w:rStyle w:val="TrebuchetMS75pt0pt"/>
          <w:rFonts w:ascii="Times New Roman" w:hAnsi="Times New Roman" w:cs="Times New Roman"/>
          <w:spacing w:val="0"/>
          <w:sz w:val="24"/>
          <w:szCs w:val="24"/>
          <w:lang w:val="en-US"/>
        </w:rPr>
        <w:t xml:space="preserve"> </w:t>
      </w:r>
      <w:r w:rsidRPr="005F25CA">
        <w:rPr>
          <w:rStyle w:val="TrebuchetMS75pt0pt"/>
          <w:rFonts w:ascii="Times New Roman" w:hAnsi="Times New Roman" w:cs="Times New Roman"/>
          <w:spacing w:val="0"/>
          <w:sz w:val="24"/>
          <w:szCs w:val="24"/>
          <w:lang w:val="en-US"/>
        </w:rPr>
        <w:t>The dose must be determined based on the individual risk related to the patient and the  type of surgery.</w:t>
      </w:r>
    </w:p>
    <w:p w:rsidR="00512251" w:rsidRPr="005F25CA" w:rsidRDefault="009027A0" w:rsidP="002701F5">
      <w:pPr>
        <w:pStyle w:val="41"/>
        <w:shd w:val="clear" w:color="auto" w:fill="auto"/>
        <w:spacing w:line="240" w:lineRule="auto"/>
        <w:rPr>
          <w:sz w:val="24"/>
          <w:szCs w:val="24"/>
          <w:lang w:val="en-US"/>
        </w:rPr>
      </w:pPr>
      <w:r w:rsidRPr="005F25CA">
        <w:rPr>
          <w:sz w:val="24"/>
          <w:szCs w:val="24"/>
          <w:lang w:val="en-US"/>
        </w:rPr>
        <w:t xml:space="preserve">Surgery involving moderate </w:t>
      </w:r>
      <w:proofErr w:type="spellStart"/>
      <w:r w:rsidRPr="005F25CA">
        <w:rPr>
          <w:sz w:val="24"/>
          <w:szCs w:val="24"/>
          <w:lang w:val="en-US"/>
        </w:rPr>
        <w:t>thrombogenic</w:t>
      </w:r>
      <w:proofErr w:type="spellEnd"/>
      <w:r w:rsidRPr="005F25CA">
        <w:rPr>
          <w:sz w:val="24"/>
          <w:szCs w:val="24"/>
          <w:lang w:val="en-US"/>
        </w:rPr>
        <w:t xml:space="preserve"> risk</w:t>
      </w:r>
      <w:r w:rsidR="00D36A8D" w:rsidRPr="005F25CA">
        <w:rPr>
          <w:sz w:val="24"/>
          <w:szCs w:val="24"/>
          <w:lang w:val="en-US"/>
        </w:rPr>
        <w:t>.</w:t>
      </w:r>
    </w:p>
    <w:p w:rsidR="00512251" w:rsidRPr="005F25CA" w:rsidRDefault="001046CC" w:rsidP="002701F5">
      <w:pPr>
        <w:pStyle w:val="4"/>
        <w:spacing w:line="240" w:lineRule="auto"/>
        <w:ind w:firstLine="0"/>
        <w:jc w:val="both"/>
        <w:rPr>
          <w:sz w:val="24"/>
          <w:szCs w:val="24"/>
          <w:lang w:val="en-US"/>
        </w:rPr>
      </w:pPr>
      <w:r w:rsidRPr="005F25CA">
        <w:rPr>
          <w:sz w:val="24"/>
          <w:szCs w:val="24"/>
          <w:lang w:val="en-US"/>
        </w:rPr>
        <w:t xml:space="preserve">In surgery involving moderate </w:t>
      </w:r>
      <w:proofErr w:type="spellStart"/>
      <w:r w:rsidRPr="005F25CA">
        <w:rPr>
          <w:sz w:val="24"/>
          <w:szCs w:val="24"/>
          <w:lang w:val="en-US"/>
        </w:rPr>
        <w:t>thrombogenic</w:t>
      </w:r>
      <w:proofErr w:type="spellEnd"/>
      <w:r w:rsidRPr="005F25CA">
        <w:rPr>
          <w:sz w:val="24"/>
          <w:szCs w:val="24"/>
          <w:lang w:val="en-US"/>
        </w:rPr>
        <w:t xml:space="preserve"> risk and in patients who are not at high risk of thromboembolism, effective prevention is achieved by daily injection of Flenox® at 20 mg (0.2 </w:t>
      </w:r>
      <w:r w:rsidR="00D027D1" w:rsidRPr="005F25CA">
        <w:rPr>
          <w:sz w:val="24"/>
          <w:szCs w:val="24"/>
          <w:lang w:val="en-US"/>
        </w:rPr>
        <w:t>mL</w:t>
      </w:r>
      <w:r w:rsidRPr="005F25CA">
        <w:rPr>
          <w:sz w:val="24"/>
          <w:szCs w:val="24"/>
          <w:lang w:val="en-US"/>
        </w:rPr>
        <w:t>; 2</w:t>
      </w:r>
      <w:r w:rsidR="00687ABD" w:rsidRPr="005F25CA">
        <w:rPr>
          <w:sz w:val="24"/>
          <w:szCs w:val="24"/>
          <w:lang w:val="en-US"/>
        </w:rPr>
        <w:t>,</w:t>
      </w:r>
      <w:r w:rsidRPr="005F25CA">
        <w:rPr>
          <w:sz w:val="24"/>
          <w:szCs w:val="24"/>
          <w:lang w:val="en-US"/>
        </w:rPr>
        <w:t>000 anti-Xa IU).</w:t>
      </w:r>
      <w:r w:rsidR="00D36A8D" w:rsidRPr="005F25CA">
        <w:rPr>
          <w:sz w:val="24"/>
          <w:szCs w:val="24"/>
          <w:lang w:val="en-US"/>
        </w:rPr>
        <w:t xml:space="preserve"> </w:t>
      </w:r>
      <w:r w:rsidRPr="005F25CA">
        <w:rPr>
          <w:sz w:val="24"/>
          <w:szCs w:val="24"/>
          <w:lang w:val="en-US"/>
        </w:rPr>
        <w:t>The studied dosage regimen involves administration of the first injection 2 hours before surgery.</w:t>
      </w:r>
    </w:p>
    <w:p w:rsidR="00512251" w:rsidRPr="005F25CA" w:rsidRDefault="009E6381" w:rsidP="002701F5">
      <w:pPr>
        <w:pStyle w:val="41"/>
        <w:shd w:val="clear" w:color="auto" w:fill="auto"/>
        <w:spacing w:line="240" w:lineRule="auto"/>
        <w:rPr>
          <w:sz w:val="24"/>
          <w:szCs w:val="24"/>
          <w:lang w:val="en-US"/>
        </w:rPr>
      </w:pPr>
      <w:r w:rsidRPr="005F25CA">
        <w:rPr>
          <w:sz w:val="24"/>
          <w:szCs w:val="24"/>
          <w:lang w:val="en-US"/>
        </w:rPr>
        <w:t xml:space="preserve">Surgery involving high </w:t>
      </w:r>
      <w:proofErr w:type="spellStart"/>
      <w:r w:rsidRPr="005F25CA">
        <w:rPr>
          <w:sz w:val="24"/>
          <w:szCs w:val="24"/>
          <w:lang w:val="en-US"/>
        </w:rPr>
        <w:t>thrombogenic</w:t>
      </w:r>
      <w:proofErr w:type="spellEnd"/>
      <w:r w:rsidRPr="005F25CA">
        <w:rPr>
          <w:sz w:val="24"/>
          <w:szCs w:val="24"/>
          <w:lang w:val="en-US"/>
        </w:rPr>
        <w:t xml:space="preserve"> risk</w:t>
      </w:r>
      <w:r w:rsidR="00D36A8D" w:rsidRPr="005F25CA">
        <w:rPr>
          <w:sz w:val="24"/>
          <w:szCs w:val="24"/>
          <w:lang w:val="en-US"/>
        </w:rPr>
        <w:t>.</w:t>
      </w:r>
    </w:p>
    <w:p w:rsidR="00512251" w:rsidRPr="005F25CA" w:rsidRDefault="009E6381" w:rsidP="002701F5">
      <w:pPr>
        <w:pStyle w:val="4"/>
        <w:shd w:val="clear" w:color="auto" w:fill="auto"/>
        <w:spacing w:line="240" w:lineRule="auto"/>
        <w:ind w:firstLine="0"/>
        <w:rPr>
          <w:sz w:val="24"/>
          <w:szCs w:val="24"/>
          <w:lang w:val="en-US"/>
        </w:rPr>
      </w:pPr>
      <w:r w:rsidRPr="005F25CA">
        <w:rPr>
          <w:rStyle w:val="11"/>
          <w:sz w:val="24"/>
          <w:szCs w:val="24"/>
          <w:lang w:val="en-US"/>
        </w:rPr>
        <w:lastRenderedPageBreak/>
        <w:t>Hip and knee surgery</w:t>
      </w:r>
      <w:r w:rsidR="00D36A8D" w:rsidRPr="005F25CA">
        <w:rPr>
          <w:rStyle w:val="11"/>
          <w:sz w:val="24"/>
          <w:szCs w:val="24"/>
          <w:lang w:val="en-US"/>
        </w:rPr>
        <w:t>.</w:t>
      </w:r>
    </w:p>
    <w:p w:rsidR="00512251" w:rsidRPr="005F25CA" w:rsidRDefault="009E6381" w:rsidP="002701F5">
      <w:pPr>
        <w:pStyle w:val="4"/>
        <w:shd w:val="clear" w:color="auto" w:fill="auto"/>
        <w:spacing w:line="240" w:lineRule="auto"/>
        <w:ind w:firstLine="0"/>
        <w:rPr>
          <w:sz w:val="24"/>
          <w:szCs w:val="24"/>
          <w:lang w:val="en-US"/>
        </w:rPr>
      </w:pPr>
      <w:r w:rsidRPr="005F25CA">
        <w:rPr>
          <w:sz w:val="24"/>
          <w:szCs w:val="24"/>
          <w:lang w:val="en-US"/>
        </w:rPr>
        <w:t xml:space="preserve">The dosage of Flenox® is 40 mg (0.4 </w:t>
      </w:r>
      <w:r w:rsidR="00D027D1" w:rsidRPr="005F25CA">
        <w:rPr>
          <w:sz w:val="24"/>
          <w:szCs w:val="24"/>
          <w:lang w:val="en-US"/>
        </w:rPr>
        <w:t>mL</w:t>
      </w:r>
      <w:r w:rsidRPr="005F25CA">
        <w:rPr>
          <w:sz w:val="24"/>
          <w:szCs w:val="24"/>
          <w:lang w:val="en-US"/>
        </w:rPr>
        <w:t>; 4</w:t>
      </w:r>
      <w:r w:rsidR="00ED622A" w:rsidRPr="005F25CA">
        <w:rPr>
          <w:sz w:val="24"/>
          <w:szCs w:val="24"/>
          <w:lang w:val="en-US"/>
        </w:rPr>
        <w:t>,</w:t>
      </w:r>
      <w:r w:rsidRPr="005F25CA">
        <w:rPr>
          <w:sz w:val="24"/>
          <w:szCs w:val="24"/>
          <w:lang w:val="en-US"/>
        </w:rPr>
        <w:t>000 anti-Xa IU) injected once daily</w:t>
      </w:r>
      <w:r w:rsidR="00D36A8D" w:rsidRPr="005F25CA">
        <w:rPr>
          <w:sz w:val="24"/>
          <w:szCs w:val="24"/>
          <w:lang w:val="en-US"/>
        </w:rPr>
        <w:t>.</w:t>
      </w:r>
    </w:p>
    <w:p w:rsidR="00512251" w:rsidRPr="005F25CA" w:rsidRDefault="00DC7731" w:rsidP="002701F5">
      <w:pPr>
        <w:pStyle w:val="4"/>
        <w:spacing w:line="240" w:lineRule="auto"/>
        <w:ind w:firstLine="0"/>
        <w:jc w:val="both"/>
        <w:rPr>
          <w:sz w:val="24"/>
          <w:szCs w:val="24"/>
          <w:lang w:val="en-US"/>
        </w:rPr>
      </w:pPr>
      <w:r w:rsidRPr="005F25CA">
        <w:rPr>
          <w:sz w:val="24"/>
          <w:szCs w:val="24"/>
          <w:lang w:val="en-US"/>
        </w:rPr>
        <w:t>The studied dosage regimen involves either administration of the first injection of 4</w:t>
      </w:r>
      <w:r w:rsidR="00FD315C" w:rsidRPr="005F25CA">
        <w:rPr>
          <w:sz w:val="24"/>
          <w:szCs w:val="24"/>
          <w:lang w:val="en-US"/>
        </w:rPr>
        <w:t>,</w:t>
      </w:r>
      <w:r w:rsidRPr="005F25CA">
        <w:rPr>
          <w:sz w:val="24"/>
          <w:szCs w:val="24"/>
          <w:lang w:val="en-US"/>
        </w:rPr>
        <w:t>000 anti-Xa IU (total dose) 12 hours before surgery, or a first injection of 2</w:t>
      </w:r>
      <w:r w:rsidR="00FD315C" w:rsidRPr="005F25CA">
        <w:rPr>
          <w:sz w:val="24"/>
          <w:szCs w:val="24"/>
          <w:lang w:val="en-US"/>
        </w:rPr>
        <w:t>,</w:t>
      </w:r>
      <w:r w:rsidRPr="005F25CA">
        <w:rPr>
          <w:sz w:val="24"/>
          <w:szCs w:val="24"/>
          <w:lang w:val="en-US"/>
        </w:rPr>
        <w:t>000 anti-Xa IU (half dose) 2 hours before surgery.</w:t>
      </w:r>
    </w:p>
    <w:p w:rsidR="00512251" w:rsidRPr="005F25CA" w:rsidRDefault="00DC7731" w:rsidP="002701F5">
      <w:pPr>
        <w:pStyle w:val="4"/>
        <w:shd w:val="clear" w:color="auto" w:fill="auto"/>
        <w:spacing w:line="240" w:lineRule="auto"/>
        <w:ind w:firstLine="0"/>
        <w:rPr>
          <w:sz w:val="24"/>
          <w:szCs w:val="24"/>
          <w:lang w:val="en-US"/>
        </w:rPr>
      </w:pPr>
      <w:r w:rsidRPr="005F25CA">
        <w:rPr>
          <w:rStyle w:val="11"/>
          <w:sz w:val="24"/>
          <w:szCs w:val="24"/>
          <w:lang w:val="en-US"/>
        </w:rPr>
        <w:t>Other situations.</w:t>
      </w:r>
    </w:p>
    <w:p w:rsidR="00512251" w:rsidRPr="005F25CA" w:rsidRDefault="00520550" w:rsidP="002701F5">
      <w:pPr>
        <w:pStyle w:val="4"/>
        <w:spacing w:line="240" w:lineRule="auto"/>
        <w:ind w:firstLine="0"/>
        <w:jc w:val="both"/>
        <w:rPr>
          <w:sz w:val="24"/>
          <w:szCs w:val="24"/>
          <w:lang w:val="en-US"/>
        </w:rPr>
      </w:pPr>
      <w:r w:rsidRPr="005F25CA">
        <w:rPr>
          <w:sz w:val="24"/>
          <w:szCs w:val="24"/>
          <w:lang w:val="en-US"/>
        </w:rPr>
        <w:t>When there appears to be an increased risk of venous thromboembolism due to the type of surgery (particularly cancer surgery) and/or due to the patient (particularly history of venous thromboembolism), administering a prophylactic dose identical to that for high-risk orthopedic surgery, such as hip or knee surgery, can be considered</w:t>
      </w:r>
      <w:r w:rsidR="00D36A8D" w:rsidRPr="005F25CA">
        <w:rPr>
          <w:sz w:val="24"/>
          <w:szCs w:val="24"/>
          <w:lang w:val="en-US"/>
        </w:rPr>
        <w:t>.</w:t>
      </w:r>
    </w:p>
    <w:p w:rsidR="00512251" w:rsidRPr="005F25CA" w:rsidRDefault="00D815CB" w:rsidP="00FD315C">
      <w:pPr>
        <w:pStyle w:val="41"/>
        <w:numPr>
          <w:ilvl w:val="0"/>
          <w:numId w:val="28"/>
        </w:numPr>
        <w:shd w:val="clear" w:color="auto" w:fill="auto"/>
        <w:spacing w:line="240" w:lineRule="auto"/>
        <w:rPr>
          <w:sz w:val="24"/>
          <w:szCs w:val="24"/>
          <w:lang w:val="en-US"/>
        </w:rPr>
      </w:pPr>
      <w:r w:rsidRPr="005F25CA">
        <w:rPr>
          <w:rStyle w:val="42"/>
          <w:i/>
          <w:iCs/>
          <w:sz w:val="24"/>
          <w:szCs w:val="24"/>
          <w:lang w:val="en-US"/>
        </w:rPr>
        <w:t>Duration of treatment</w:t>
      </w:r>
      <w:r w:rsidR="00D36A8D" w:rsidRPr="005F25CA">
        <w:rPr>
          <w:rStyle w:val="42"/>
          <w:i/>
          <w:iCs/>
          <w:sz w:val="24"/>
          <w:szCs w:val="24"/>
          <w:lang w:val="en-US"/>
        </w:rPr>
        <w:t>.</w:t>
      </w:r>
    </w:p>
    <w:p w:rsidR="00512251" w:rsidRPr="005F25CA" w:rsidRDefault="00D815CB" w:rsidP="00FD315C">
      <w:pPr>
        <w:pStyle w:val="4"/>
        <w:spacing w:line="240" w:lineRule="auto"/>
        <w:ind w:firstLine="0"/>
        <w:jc w:val="both"/>
        <w:rPr>
          <w:sz w:val="24"/>
          <w:szCs w:val="24"/>
          <w:lang w:val="en-US"/>
        </w:rPr>
      </w:pPr>
      <w:r w:rsidRPr="005F25CA">
        <w:rPr>
          <w:sz w:val="24"/>
          <w:szCs w:val="24"/>
          <w:lang w:val="en-US"/>
        </w:rPr>
        <w:t>Treatment with LMWH should be maintained, along with the usual methods of elastic support of the legs, until the patient is fully and actively ambulatory</w:t>
      </w:r>
      <w:r w:rsidR="00D36A8D" w:rsidRPr="005F25CA">
        <w:rPr>
          <w:sz w:val="24"/>
          <w:szCs w:val="24"/>
          <w:lang w:val="en-US"/>
        </w:rPr>
        <w:t>:</w:t>
      </w:r>
    </w:p>
    <w:p w:rsidR="00512251" w:rsidRPr="005F25CA" w:rsidRDefault="00D815CB" w:rsidP="00FD315C">
      <w:pPr>
        <w:pStyle w:val="4"/>
        <w:numPr>
          <w:ilvl w:val="0"/>
          <w:numId w:val="29"/>
        </w:numPr>
        <w:shd w:val="clear" w:color="auto" w:fill="auto"/>
        <w:spacing w:line="240" w:lineRule="auto"/>
        <w:jc w:val="both"/>
        <w:rPr>
          <w:sz w:val="24"/>
          <w:szCs w:val="24"/>
          <w:lang w:val="en-US"/>
        </w:rPr>
      </w:pPr>
      <w:r w:rsidRPr="005F25CA">
        <w:rPr>
          <w:sz w:val="24"/>
          <w:szCs w:val="24"/>
          <w:lang w:val="en-US" w:eastAsia="ru-RU" w:bidi="ru-RU"/>
        </w:rPr>
        <w:t xml:space="preserve">in general surgery, the duration of LMWH treatment must be less than 10 days unless there is a patient-specific risk of venous thromboembolism (see </w:t>
      </w:r>
      <w:r w:rsidRPr="005F25CA">
        <w:rPr>
          <w:sz w:val="24"/>
          <w:szCs w:val="24"/>
          <w:lang w:val="en-US"/>
        </w:rPr>
        <w:t>Special warnings and precautions for use</w:t>
      </w:r>
      <w:r w:rsidR="00D36A8D" w:rsidRPr="005F25CA">
        <w:rPr>
          <w:sz w:val="24"/>
          <w:szCs w:val="24"/>
          <w:lang w:val="en-US"/>
        </w:rPr>
        <w:t>);</w:t>
      </w:r>
    </w:p>
    <w:p w:rsidR="00512251" w:rsidRPr="005F25CA" w:rsidRDefault="00F01997" w:rsidP="00FD315C">
      <w:pPr>
        <w:pStyle w:val="4"/>
        <w:numPr>
          <w:ilvl w:val="0"/>
          <w:numId w:val="29"/>
        </w:numPr>
        <w:shd w:val="clear" w:color="auto" w:fill="auto"/>
        <w:spacing w:line="240" w:lineRule="auto"/>
        <w:jc w:val="both"/>
        <w:rPr>
          <w:sz w:val="24"/>
          <w:szCs w:val="24"/>
          <w:lang w:val="en-US"/>
        </w:rPr>
      </w:pPr>
      <w:r w:rsidRPr="005F25CA">
        <w:rPr>
          <w:sz w:val="24"/>
          <w:szCs w:val="24"/>
          <w:lang w:val="en-US"/>
        </w:rPr>
        <w:t>the therapeutic benefit of prophylactic treatment consisting of an injection of 4</w:t>
      </w:r>
      <w:r w:rsidR="000050F9" w:rsidRPr="005F25CA">
        <w:rPr>
          <w:sz w:val="24"/>
          <w:szCs w:val="24"/>
          <w:lang w:val="en-US"/>
        </w:rPr>
        <w:t>,</w:t>
      </w:r>
      <w:r w:rsidRPr="005F25CA">
        <w:rPr>
          <w:sz w:val="24"/>
          <w:szCs w:val="24"/>
          <w:lang w:val="en-US"/>
        </w:rPr>
        <w:t>000 anti-Xa IU/day of enoxaparin for 4 to 5 weeks after hip surgery has been established;</w:t>
      </w:r>
    </w:p>
    <w:p w:rsidR="00512251" w:rsidRPr="005F25CA" w:rsidRDefault="00F01997" w:rsidP="00FD315C">
      <w:pPr>
        <w:pStyle w:val="4"/>
        <w:numPr>
          <w:ilvl w:val="0"/>
          <w:numId w:val="29"/>
        </w:numPr>
        <w:shd w:val="clear" w:color="auto" w:fill="auto"/>
        <w:spacing w:line="240" w:lineRule="auto"/>
        <w:jc w:val="both"/>
        <w:rPr>
          <w:sz w:val="24"/>
          <w:szCs w:val="24"/>
          <w:lang w:val="en-US"/>
        </w:rPr>
      </w:pPr>
      <w:r w:rsidRPr="005F25CA">
        <w:rPr>
          <w:sz w:val="24"/>
          <w:szCs w:val="24"/>
          <w:lang w:val="en-US"/>
        </w:rPr>
        <w:t>if the patient is still at risk of venous thromboembolism after the recommended treatment duration, continuing prophylactic therapy must be considered, particularly by administration of oral anticoagulants</w:t>
      </w:r>
      <w:r w:rsidR="00D36A8D" w:rsidRPr="005F25CA">
        <w:rPr>
          <w:sz w:val="24"/>
          <w:szCs w:val="24"/>
          <w:lang w:val="en-US"/>
        </w:rPr>
        <w:t>.</w:t>
      </w:r>
    </w:p>
    <w:p w:rsidR="00512251" w:rsidRPr="005F25CA" w:rsidRDefault="00F01997" w:rsidP="002701F5">
      <w:pPr>
        <w:pStyle w:val="4"/>
        <w:spacing w:line="240" w:lineRule="auto"/>
        <w:ind w:firstLine="0"/>
        <w:jc w:val="both"/>
        <w:rPr>
          <w:sz w:val="24"/>
          <w:szCs w:val="24"/>
          <w:lang w:val="en-US"/>
        </w:rPr>
      </w:pPr>
      <w:r w:rsidRPr="005F25CA">
        <w:rPr>
          <w:sz w:val="24"/>
          <w:szCs w:val="24"/>
          <w:lang w:val="en-US"/>
        </w:rPr>
        <w:t>However, the clinical benefit of long-term treatment with low-molecular-weight heparins or oral anticoagulants has not yet been evaluated</w:t>
      </w:r>
      <w:r w:rsidR="00D36A8D" w:rsidRPr="005F25CA">
        <w:rPr>
          <w:sz w:val="24"/>
          <w:szCs w:val="24"/>
          <w:lang w:val="en-US"/>
        </w:rPr>
        <w:t>.</w:t>
      </w:r>
    </w:p>
    <w:p w:rsidR="00512251" w:rsidRPr="005F25CA" w:rsidRDefault="002F6C5E" w:rsidP="000050F9">
      <w:pPr>
        <w:pStyle w:val="30"/>
        <w:shd w:val="clear" w:color="auto" w:fill="auto"/>
        <w:spacing w:before="0" w:line="240" w:lineRule="auto"/>
        <w:jc w:val="both"/>
        <w:rPr>
          <w:sz w:val="24"/>
          <w:szCs w:val="24"/>
          <w:lang w:val="en-US"/>
        </w:rPr>
      </w:pPr>
      <w:r w:rsidRPr="005F25CA">
        <w:rPr>
          <w:sz w:val="24"/>
          <w:szCs w:val="24"/>
          <w:lang w:val="en-US"/>
        </w:rPr>
        <w:t>Prophylactic treatment of deep vein thrombosis in patients who are bedridden due to acute medical conditions</w:t>
      </w:r>
      <w:r w:rsidR="00D36A8D" w:rsidRPr="005F25CA">
        <w:rPr>
          <w:sz w:val="24"/>
          <w:szCs w:val="24"/>
          <w:lang w:val="en-US"/>
        </w:rPr>
        <w:t>.</w:t>
      </w:r>
    </w:p>
    <w:p w:rsidR="00211891" w:rsidRPr="005F25CA" w:rsidRDefault="002F6C5E" w:rsidP="000050F9">
      <w:pPr>
        <w:pStyle w:val="4"/>
        <w:spacing w:line="240" w:lineRule="auto"/>
        <w:ind w:firstLine="0"/>
        <w:jc w:val="both"/>
        <w:rPr>
          <w:sz w:val="24"/>
          <w:szCs w:val="24"/>
          <w:lang w:val="en-US"/>
        </w:rPr>
      </w:pPr>
      <w:r w:rsidRPr="005F25CA">
        <w:rPr>
          <w:sz w:val="24"/>
          <w:szCs w:val="24"/>
          <w:lang w:val="en-US"/>
        </w:rPr>
        <w:t xml:space="preserve">The recommended dose of Flenox® is 40 mg (0.4 </w:t>
      </w:r>
      <w:r w:rsidR="00D027D1" w:rsidRPr="005F25CA">
        <w:rPr>
          <w:sz w:val="24"/>
          <w:szCs w:val="24"/>
          <w:lang w:val="en-US"/>
        </w:rPr>
        <w:t>mL</w:t>
      </w:r>
      <w:r w:rsidRPr="005F25CA">
        <w:rPr>
          <w:sz w:val="24"/>
          <w:szCs w:val="24"/>
          <w:lang w:val="en-US"/>
        </w:rPr>
        <w:t xml:space="preserve">, 4 000 anti-Xa IU) once a day by subcutaneous injection. Flenox® is prescribed for a minimum of 6 days and continued until the full return to </w:t>
      </w:r>
      <w:proofErr w:type="spellStart"/>
      <w:r w:rsidRPr="005F25CA">
        <w:rPr>
          <w:sz w:val="24"/>
          <w:szCs w:val="24"/>
          <w:lang w:val="en-US"/>
        </w:rPr>
        <w:t>deambulation</w:t>
      </w:r>
      <w:proofErr w:type="spellEnd"/>
      <w:r w:rsidRPr="005F25CA">
        <w:rPr>
          <w:sz w:val="24"/>
          <w:szCs w:val="24"/>
          <w:lang w:val="en-US"/>
        </w:rPr>
        <w:t>, for a maximum of 14 days.</w:t>
      </w:r>
      <w:r w:rsidR="00D36A8D" w:rsidRPr="005F25CA">
        <w:rPr>
          <w:sz w:val="24"/>
          <w:szCs w:val="24"/>
          <w:lang w:val="en-US"/>
        </w:rPr>
        <w:t xml:space="preserve"> </w:t>
      </w:r>
      <w:r w:rsidRPr="005F25CA">
        <w:rPr>
          <w:sz w:val="24"/>
          <w:szCs w:val="24"/>
          <w:lang w:val="en-US"/>
        </w:rPr>
        <w:t>If the patient is still at risk of venous thromboembolism after the recommended treatment duration, continuing prophylactic therapy must be considered by administration of oral anticoagulants</w:t>
      </w:r>
      <w:r w:rsidR="00D36A8D" w:rsidRPr="005F25CA">
        <w:rPr>
          <w:sz w:val="24"/>
          <w:szCs w:val="24"/>
          <w:lang w:val="en-US"/>
        </w:rPr>
        <w:t xml:space="preserve">. </w:t>
      </w:r>
    </w:p>
    <w:p w:rsidR="00512251" w:rsidRPr="005F25CA" w:rsidRDefault="00CE2D64" w:rsidP="002701F5">
      <w:pPr>
        <w:pStyle w:val="4"/>
        <w:shd w:val="clear" w:color="auto" w:fill="auto"/>
        <w:spacing w:line="240" w:lineRule="auto"/>
        <w:ind w:firstLine="0"/>
        <w:rPr>
          <w:sz w:val="24"/>
          <w:szCs w:val="24"/>
          <w:lang w:val="en-US"/>
        </w:rPr>
      </w:pPr>
      <w:r w:rsidRPr="005F25CA">
        <w:rPr>
          <w:rStyle w:val="aa"/>
          <w:sz w:val="24"/>
          <w:szCs w:val="24"/>
          <w:lang w:val="en-US"/>
        </w:rPr>
        <w:t>Prevention of clotting in the extracorporeal circulation during hemodialysis</w:t>
      </w:r>
      <w:r w:rsidR="00D36A8D" w:rsidRPr="005F25CA">
        <w:rPr>
          <w:rStyle w:val="aa"/>
          <w:sz w:val="24"/>
          <w:szCs w:val="24"/>
          <w:lang w:val="en-US"/>
        </w:rPr>
        <w:t>.</w:t>
      </w:r>
    </w:p>
    <w:p w:rsidR="000050F9" w:rsidRPr="005F25CA" w:rsidRDefault="00D277A6" w:rsidP="000050F9">
      <w:pPr>
        <w:pStyle w:val="4"/>
        <w:spacing w:line="240" w:lineRule="auto"/>
        <w:ind w:firstLine="0"/>
        <w:jc w:val="both"/>
        <w:rPr>
          <w:sz w:val="24"/>
          <w:szCs w:val="24"/>
          <w:lang w:val="en-US"/>
        </w:rPr>
      </w:pPr>
      <w:r w:rsidRPr="005F25CA">
        <w:rPr>
          <w:rStyle w:val="a7"/>
          <w:sz w:val="24"/>
          <w:szCs w:val="24"/>
          <w:lang w:val="en-US"/>
        </w:rPr>
        <w:t xml:space="preserve">Injection is administered by the intravascular route </w:t>
      </w:r>
      <w:r w:rsidRPr="005F25CA">
        <w:rPr>
          <w:rStyle w:val="a7"/>
          <w:i w:val="0"/>
          <w:sz w:val="24"/>
          <w:szCs w:val="24"/>
          <w:lang w:val="en-US"/>
        </w:rPr>
        <w:t>(in the arterial line of the dialysis circuit</w:t>
      </w:r>
      <w:r w:rsidRPr="005F25CA">
        <w:rPr>
          <w:rStyle w:val="a7"/>
          <w:sz w:val="24"/>
          <w:szCs w:val="24"/>
          <w:lang w:val="en-US"/>
        </w:rPr>
        <w:t>)</w:t>
      </w:r>
      <w:r w:rsidR="00D36A8D" w:rsidRPr="005F25CA">
        <w:rPr>
          <w:sz w:val="24"/>
          <w:szCs w:val="24"/>
          <w:lang w:val="en-US"/>
        </w:rPr>
        <w:t xml:space="preserve">. </w:t>
      </w:r>
    </w:p>
    <w:p w:rsidR="00512251" w:rsidRPr="005F25CA" w:rsidRDefault="00D277A6" w:rsidP="000050F9">
      <w:pPr>
        <w:pStyle w:val="4"/>
        <w:spacing w:line="240" w:lineRule="auto"/>
        <w:ind w:firstLine="0"/>
        <w:jc w:val="both"/>
        <w:rPr>
          <w:sz w:val="24"/>
          <w:szCs w:val="24"/>
          <w:lang w:val="en-US"/>
        </w:rPr>
      </w:pPr>
      <w:r w:rsidRPr="005F25CA">
        <w:rPr>
          <w:sz w:val="24"/>
          <w:szCs w:val="24"/>
          <w:lang w:val="en-US"/>
        </w:rPr>
        <w:t xml:space="preserve">In patients undergoing repeated hemodialysis sessions, prevention of clotting in the </w:t>
      </w:r>
      <w:proofErr w:type="spellStart"/>
      <w:r w:rsidRPr="005F25CA">
        <w:rPr>
          <w:sz w:val="24"/>
          <w:szCs w:val="24"/>
          <w:lang w:val="en-US"/>
        </w:rPr>
        <w:t>extrarenal</w:t>
      </w:r>
      <w:proofErr w:type="spellEnd"/>
      <w:r w:rsidRPr="005F25CA">
        <w:rPr>
          <w:sz w:val="24"/>
          <w:szCs w:val="24"/>
          <w:lang w:val="en-US"/>
        </w:rPr>
        <w:t xml:space="preserve"> purification system is obtained by injecting an initial dose of 100 anti-Xa IU/kg in the arterial line of the dialysis circuit at the beginning of the session.</w:t>
      </w:r>
    </w:p>
    <w:p w:rsidR="00512251" w:rsidRPr="005F25CA" w:rsidRDefault="00D277A6" w:rsidP="000050F9">
      <w:pPr>
        <w:pStyle w:val="4"/>
        <w:spacing w:line="240" w:lineRule="auto"/>
        <w:ind w:firstLine="0"/>
        <w:jc w:val="both"/>
        <w:rPr>
          <w:sz w:val="24"/>
          <w:szCs w:val="24"/>
          <w:lang w:val="en-US"/>
        </w:rPr>
      </w:pPr>
      <w:r w:rsidRPr="005F25CA">
        <w:rPr>
          <w:sz w:val="24"/>
          <w:szCs w:val="24"/>
          <w:lang w:val="en-US"/>
        </w:rPr>
        <w:t>This dose, administered as a single intravascular bolus injection, is only suitable for hemodialysis sessions of 4 hours or less. It may be adjusted subsequently given high inter- and intra-individual variability.</w:t>
      </w:r>
      <w:r w:rsidR="00D36A8D" w:rsidRPr="005F25CA">
        <w:rPr>
          <w:sz w:val="24"/>
          <w:szCs w:val="24"/>
          <w:lang w:val="en-US"/>
        </w:rPr>
        <w:t xml:space="preserve"> </w:t>
      </w:r>
      <w:r w:rsidRPr="005F25CA">
        <w:rPr>
          <w:sz w:val="24"/>
          <w:szCs w:val="24"/>
          <w:lang w:val="en-US"/>
        </w:rPr>
        <w:t>The maximum recommended dose is 100 anti-Xa IU/kg</w:t>
      </w:r>
      <w:r w:rsidR="00D36A8D" w:rsidRPr="005F25CA">
        <w:rPr>
          <w:sz w:val="24"/>
          <w:szCs w:val="24"/>
          <w:lang w:val="en-US"/>
        </w:rPr>
        <w:t>.</w:t>
      </w:r>
    </w:p>
    <w:p w:rsidR="00512251" w:rsidRPr="005F25CA" w:rsidRDefault="00407851" w:rsidP="000050F9">
      <w:pPr>
        <w:pStyle w:val="4"/>
        <w:spacing w:line="240" w:lineRule="auto"/>
        <w:ind w:firstLine="0"/>
        <w:jc w:val="both"/>
        <w:rPr>
          <w:sz w:val="24"/>
          <w:szCs w:val="24"/>
          <w:lang w:val="en-US"/>
        </w:rPr>
      </w:pPr>
      <w:r w:rsidRPr="005F25CA">
        <w:rPr>
          <w:sz w:val="24"/>
          <w:szCs w:val="24"/>
          <w:lang w:val="en-US"/>
        </w:rPr>
        <w:t>In hemodialysis patients at high risk of hemorrhage (particularly pre- and post-operative dialysis) or with active hemorrhage, dialysis sessions may be carried out using a dose of 50 anti-Xa IU/kg (double vascular access) or 75 anti-Xa IU/kg (single vascular access)</w:t>
      </w:r>
      <w:r w:rsidR="00D36A8D" w:rsidRPr="005F25CA">
        <w:rPr>
          <w:sz w:val="24"/>
          <w:szCs w:val="24"/>
          <w:lang w:val="en-US"/>
        </w:rPr>
        <w:t>.</w:t>
      </w:r>
    </w:p>
    <w:p w:rsidR="00512251" w:rsidRPr="005F25CA" w:rsidRDefault="00FB7F19" w:rsidP="002701F5">
      <w:pPr>
        <w:pStyle w:val="30"/>
        <w:spacing w:before="0" w:line="240" w:lineRule="auto"/>
        <w:jc w:val="both"/>
        <w:rPr>
          <w:sz w:val="24"/>
          <w:szCs w:val="24"/>
          <w:lang w:val="en-US"/>
        </w:rPr>
      </w:pPr>
      <w:r w:rsidRPr="005F25CA">
        <w:rPr>
          <w:sz w:val="24"/>
          <w:szCs w:val="24"/>
          <w:lang w:val="en-US"/>
        </w:rPr>
        <w:t>Treatment of deep vein thrombosis (DVT), with or without pulmonary embolism, without signs of clinical severity</w:t>
      </w:r>
      <w:r w:rsidR="00D36A8D" w:rsidRPr="005F25CA">
        <w:rPr>
          <w:sz w:val="24"/>
          <w:szCs w:val="24"/>
          <w:lang w:val="en-US"/>
        </w:rPr>
        <w:t>.</w:t>
      </w:r>
    </w:p>
    <w:p w:rsidR="00512251" w:rsidRPr="005F25CA" w:rsidRDefault="003F6ED6" w:rsidP="002701F5">
      <w:pPr>
        <w:pStyle w:val="4"/>
        <w:spacing w:line="240" w:lineRule="auto"/>
        <w:ind w:firstLine="0"/>
        <w:jc w:val="both"/>
        <w:rPr>
          <w:sz w:val="24"/>
          <w:szCs w:val="24"/>
          <w:lang w:val="en-US"/>
        </w:rPr>
      </w:pPr>
      <w:r w:rsidRPr="005F25CA">
        <w:rPr>
          <w:sz w:val="24"/>
          <w:szCs w:val="24"/>
          <w:lang w:val="en-US"/>
        </w:rPr>
        <w:t>Any suspected deep vein thrombosis should be quickly confirmed by the appropriate examinations</w:t>
      </w:r>
      <w:r w:rsidR="00D36A8D" w:rsidRPr="005F25CA">
        <w:rPr>
          <w:sz w:val="24"/>
          <w:szCs w:val="24"/>
          <w:lang w:val="en-US"/>
        </w:rPr>
        <w:t>.</w:t>
      </w:r>
    </w:p>
    <w:p w:rsidR="00512251" w:rsidRPr="005F25CA" w:rsidRDefault="003F6ED6" w:rsidP="002701F5">
      <w:pPr>
        <w:pStyle w:val="41"/>
        <w:shd w:val="clear" w:color="auto" w:fill="auto"/>
        <w:spacing w:line="240" w:lineRule="auto"/>
        <w:jc w:val="both"/>
        <w:rPr>
          <w:sz w:val="24"/>
          <w:szCs w:val="24"/>
          <w:lang w:val="en-US"/>
        </w:rPr>
      </w:pPr>
      <w:r w:rsidRPr="005F25CA">
        <w:rPr>
          <w:sz w:val="24"/>
          <w:szCs w:val="24"/>
          <w:lang w:val="en-US"/>
        </w:rPr>
        <w:t>Administration schedule</w:t>
      </w:r>
      <w:r w:rsidR="00D36A8D" w:rsidRPr="005F25CA">
        <w:rPr>
          <w:sz w:val="24"/>
          <w:szCs w:val="24"/>
          <w:lang w:val="en-US"/>
        </w:rPr>
        <w:t>.</w:t>
      </w:r>
    </w:p>
    <w:p w:rsidR="00512251" w:rsidRPr="005F25CA" w:rsidRDefault="003F6ED6" w:rsidP="002701F5">
      <w:pPr>
        <w:pStyle w:val="4"/>
        <w:spacing w:line="240" w:lineRule="auto"/>
        <w:ind w:firstLine="0"/>
        <w:jc w:val="both"/>
        <w:rPr>
          <w:sz w:val="24"/>
          <w:szCs w:val="24"/>
          <w:lang w:val="en-US"/>
        </w:rPr>
      </w:pPr>
      <w:r w:rsidRPr="005F25CA">
        <w:rPr>
          <w:sz w:val="24"/>
          <w:szCs w:val="24"/>
          <w:lang w:val="en-US"/>
        </w:rPr>
        <w:t>Flenox® can be administered subcutaneously as twice daily injections of 100 anti-Xa IU/kg every 12 hours</w:t>
      </w:r>
      <w:r w:rsidR="00D36A8D" w:rsidRPr="005F25CA">
        <w:rPr>
          <w:sz w:val="24"/>
          <w:szCs w:val="24"/>
          <w:lang w:val="en-US"/>
        </w:rPr>
        <w:t>.</w:t>
      </w:r>
    </w:p>
    <w:p w:rsidR="00512251" w:rsidRPr="005F25CA" w:rsidRDefault="008E07CD" w:rsidP="002701F5">
      <w:pPr>
        <w:pStyle w:val="4"/>
        <w:shd w:val="clear" w:color="auto" w:fill="auto"/>
        <w:spacing w:line="240" w:lineRule="auto"/>
        <w:ind w:firstLine="0"/>
        <w:jc w:val="both"/>
        <w:rPr>
          <w:sz w:val="24"/>
          <w:szCs w:val="24"/>
          <w:lang w:val="en-US"/>
        </w:rPr>
      </w:pPr>
      <w:r w:rsidRPr="005F25CA">
        <w:rPr>
          <w:sz w:val="24"/>
          <w:szCs w:val="24"/>
          <w:lang w:val="en-US"/>
        </w:rPr>
        <w:t>LMWH dosage has not been evaluated in terms of bodyweight in patients weighing more than 100 kg or less than 40 kg. The efficacy of LMWH treatment may be lower in patients weighing more than 100 kg, and the risk of hemorrhage may be higher in patients weighing less than 40 kg. Specific clinical monitoring must be carried out in these patients</w:t>
      </w:r>
      <w:r w:rsidR="00D36A8D" w:rsidRPr="005F25CA">
        <w:rPr>
          <w:sz w:val="24"/>
          <w:szCs w:val="24"/>
          <w:lang w:val="en-US"/>
        </w:rPr>
        <w:t>.</w:t>
      </w:r>
    </w:p>
    <w:p w:rsidR="00512251" w:rsidRPr="005F25CA" w:rsidRDefault="008E07CD" w:rsidP="002701F5">
      <w:pPr>
        <w:pStyle w:val="41"/>
        <w:shd w:val="clear" w:color="auto" w:fill="auto"/>
        <w:spacing w:line="240" w:lineRule="auto"/>
        <w:jc w:val="both"/>
        <w:rPr>
          <w:sz w:val="24"/>
          <w:szCs w:val="24"/>
          <w:lang w:val="en-US"/>
        </w:rPr>
      </w:pPr>
      <w:r w:rsidRPr="005F25CA">
        <w:rPr>
          <w:sz w:val="24"/>
          <w:szCs w:val="24"/>
          <w:lang w:val="en-US"/>
        </w:rPr>
        <w:lastRenderedPageBreak/>
        <w:t>Deep vein thrombosis treatment duration.</w:t>
      </w:r>
    </w:p>
    <w:p w:rsidR="00512251" w:rsidRPr="005F25CA" w:rsidRDefault="008E07CD" w:rsidP="002701F5">
      <w:pPr>
        <w:pStyle w:val="4"/>
        <w:shd w:val="clear" w:color="auto" w:fill="auto"/>
        <w:spacing w:line="240" w:lineRule="auto"/>
        <w:ind w:firstLine="0"/>
        <w:jc w:val="both"/>
        <w:rPr>
          <w:sz w:val="24"/>
          <w:szCs w:val="24"/>
          <w:lang w:val="en-US"/>
        </w:rPr>
      </w:pPr>
      <w:r w:rsidRPr="005F25CA">
        <w:rPr>
          <w:sz w:val="24"/>
          <w:szCs w:val="24"/>
          <w:lang w:val="en-US"/>
        </w:rPr>
        <w:t>Treatment with low-molecular-weight heparin should be quickly replaced by oral anticoagulant therapy, unless contraindicated. Treatment duration with LMWH should not exceed 10 days, including the time needed to reach the required oral anticoagulant effect, except when this is difficult to achieve. Oral anticoagulant treatment should therefore be initiated as soon as possible</w:t>
      </w:r>
      <w:r w:rsidR="00D36A8D" w:rsidRPr="005F25CA">
        <w:rPr>
          <w:sz w:val="24"/>
          <w:szCs w:val="24"/>
          <w:lang w:val="en-US"/>
        </w:rPr>
        <w:t>.</w:t>
      </w:r>
    </w:p>
    <w:p w:rsidR="00512251" w:rsidRPr="005F25CA" w:rsidRDefault="00901054" w:rsidP="002701F5">
      <w:pPr>
        <w:pStyle w:val="30"/>
        <w:shd w:val="clear" w:color="auto" w:fill="auto"/>
        <w:spacing w:before="0" w:line="240" w:lineRule="auto"/>
        <w:jc w:val="both"/>
        <w:rPr>
          <w:sz w:val="24"/>
          <w:szCs w:val="24"/>
          <w:lang w:val="en-US"/>
        </w:rPr>
      </w:pPr>
      <w:r w:rsidRPr="005F25CA">
        <w:rPr>
          <w:sz w:val="24"/>
          <w:szCs w:val="24"/>
          <w:lang w:val="en-US"/>
        </w:rPr>
        <w:t>Treatment of unstable angina/non-Q-wave myocardial infarction</w:t>
      </w:r>
      <w:r w:rsidR="00D36A8D" w:rsidRPr="005F25CA">
        <w:rPr>
          <w:sz w:val="24"/>
          <w:szCs w:val="24"/>
          <w:lang w:val="en-US"/>
        </w:rPr>
        <w:t>.</w:t>
      </w:r>
    </w:p>
    <w:p w:rsidR="00901054" w:rsidRPr="005F25CA" w:rsidRDefault="00901054" w:rsidP="002701F5">
      <w:pPr>
        <w:jc w:val="both"/>
        <w:rPr>
          <w:rFonts w:ascii="Times New Roman" w:hAnsi="Times New Roman" w:cs="Times New Roman"/>
          <w:lang w:val="en-US"/>
        </w:rPr>
      </w:pPr>
      <w:r w:rsidRPr="005F25CA">
        <w:rPr>
          <w:rFonts w:ascii="Times New Roman" w:hAnsi="Times New Roman" w:cs="Times New Roman"/>
          <w:lang w:val="en-US"/>
        </w:rPr>
        <w:t>The recommended dose of 1 mg/kg (100 anti-Xa IU/kg) of Flenox® is administered by subcutaneous injection at 12-hour intervals, in combination with acetylsalicylic acid (recommended doses: 75 to 325 mg orally, following a minimum loading dose of 160 mg).</w:t>
      </w:r>
    </w:p>
    <w:p w:rsidR="00901054" w:rsidRPr="005F25CA" w:rsidRDefault="00901054" w:rsidP="002701F5">
      <w:pPr>
        <w:pStyle w:val="4"/>
        <w:shd w:val="clear" w:color="auto" w:fill="auto"/>
        <w:spacing w:line="240" w:lineRule="auto"/>
        <w:ind w:firstLine="0"/>
        <w:jc w:val="both"/>
        <w:rPr>
          <w:sz w:val="24"/>
          <w:szCs w:val="24"/>
          <w:lang w:val="en-US"/>
        </w:rPr>
      </w:pPr>
      <w:r w:rsidRPr="005F25CA">
        <w:rPr>
          <w:sz w:val="24"/>
          <w:szCs w:val="24"/>
          <w:lang w:val="en-US"/>
        </w:rPr>
        <w:t>The duration of treatment is at least 2 to 8 days, until the patient is clinically stable.</w:t>
      </w:r>
    </w:p>
    <w:p w:rsidR="00512251" w:rsidRPr="005F25CA" w:rsidRDefault="006E7A51" w:rsidP="002701F5">
      <w:pPr>
        <w:pStyle w:val="30"/>
        <w:shd w:val="clear" w:color="auto" w:fill="auto"/>
        <w:spacing w:before="0" w:line="240" w:lineRule="auto"/>
        <w:jc w:val="both"/>
        <w:rPr>
          <w:sz w:val="24"/>
          <w:szCs w:val="24"/>
          <w:lang w:val="en-US"/>
        </w:rPr>
      </w:pPr>
      <w:r w:rsidRPr="005F25CA">
        <w:rPr>
          <w:sz w:val="24"/>
          <w:szCs w:val="24"/>
          <w:lang w:val="en-US"/>
        </w:rPr>
        <w:t>Treatment</w:t>
      </w:r>
      <w:r w:rsidR="002A2D26" w:rsidRPr="005F25CA">
        <w:rPr>
          <w:sz w:val="24"/>
          <w:szCs w:val="24"/>
          <w:lang w:val="en-US"/>
        </w:rPr>
        <w:t xml:space="preserve"> </w:t>
      </w:r>
      <w:r w:rsidRPr="005F25CA">
        <w:rPr>
          <w:sz w:val="24"/>
          <w:szCs w:val="24"/>
          <w:lang w:val="en-US"/>
        </w:rPr>
        <w:t>of</w:t>
      </w:r>
      <w:r w:rsidR="002A2D26" w:rsidRPr="005F25CA">
        <w:rPr>
          <w:sz w:val="24"/>
          <w:szCs w:val="24"/>
          <w:lang w:val="en-US"/>
        </w:rPr>
        <w:t xml:space="preserve"> </w:t>
      </w:r>
      <w:r w:rsidRPr="005F25CA">
        <w:rPr>
          <w:sz w:val="24"/>
          <w:szCs w:val="24"/>
          <w:lang w:val="en-US"/>
        </w:rPr>
        <w:t>acute ST-segment elevation myocardial infarction in combination</w:t>
      </w:r>
      <w:r w:rsidR="002A2D26" w:rsidRPr="005F25CA">
        <w:rPr>
          <w:sz w:val="24"/>
          <w:szCs w:val="24"/>
          <w:lang w:val="en-US"/>
        </w:rPr>
        <w:t xml:space="preserve"> </w:t>
      </w:r>
      <w:r w:rsidRPr="005F25CA">
        <w:rPr>
          <w:sz w:val="24"/>
          <w:szCs w:val="24"/>
          <w:lang w:val="en-US"/>
        </w:rPr>
        <w:t>with a thrombolytic agent in patients eligible or not for subsequent</w:t>
      </w:r>
      <w:r w:rsidR="002A2D26" w:rsidRPr="005F25CA">
        <w:rPr>
          <w:sz w:val="24"/>
          <w:szCs w:val="24"/>
          <w:lang w:val="en-US"/>
        </w:rPr>
        <w:t xml:space="preserve"> </w:t>
      </w:r>
      <w:r w:rsidRPr="005F25CA">
        <w:rPr>
          <w:sz w:val="24"/>
          <w:szCs w:val="24"/>
          <w:lang w:val="en-US"/>
        </w:rPr>
        <w:t>coronary</w:t>
      </w:r>
      <w:r w:rsidR="002A2D26" w:rsidRPr="005F25CA">
        <w:rPr>
          <w:sz w:val="24"/>
          <w:szCs w:val="24"/>
          <w:lang w:val="en-US"/>
        </w:rPr>
        <w:t xml:space="preserve"> </w:t>
      </w:r>
      <w:r w:rsidRPr="005F25CA">
        <w:rPr>
          <w:sz w:val="24"/>
          <w:szCs w:val="24"/>
          <w:lang w:val="en-US"/>
        </w:rPr>
        <w:t>angioplasty</w:t>
      </w:r>
      <w:r w:rsidR="00D36A8D" w:rsidRPr="005F25CA">
        <w:rPr>
          <w:sz w:val="24"/>
          <w:szCs w:val="24"/>
          <w:lang w:val="en-US"/>
        </w:rPr>
        <w:t>.</w:t>
      </w:r>
    </w:p>
    <w:p w:rsidR="006E7A51" w:rsidRPr="005F25CA" w:rsidRDefault="006E7A51" w:rsidP="002701F5">
      <w:pPr>
        <w:jc w:val="both"/>
        <w:rPr>
          <w:rFonts w:ascii="Times New Roman" w:hAnsi="Times New Roman" w:cs="Times New Roman"/>
          <w:lang w:val="en-US"/>
        </w:rPr>
      </w:pPr>
      <w:r w:rsidRPr="005F25CA">
        <w:rPr>
          <w:rFonts w:ascii="Times New Roman" w:hAnsi="Times New Roman" w:cs="Times New Roman"/>
          <w:lang w:val="en-US"/>
        </w:rPr>
        <w:t xml:space="preserve">An initial IV bolus injection of 30 mg/kg (0.3 </w:t>
      </w:r>
      <w:r w:rsidR="00D027D1" w:rsidRPr="005F25CA">
        <w:rPr>
          <w:rFonts w:ascii="Times New Roman" w:hAnsi="Times New Roman" w:cs="Times New Roman"/>
          <w:lang w:val="en-US"/>
        </w:rPr>
        <w:t>mL</w:t>
      </w:r>
      <w:r w:rsidRPr="005F25CA">
        <w:rPr>
          <w:rFonts w:ascii="Times New Roman" w:hAnsi="Times New Roman" w:cs="Times New Roman"/>
          <w:lang w:val="en-US"/>
        </w:rPr>
        <w:t>; 3</w:t>
      </w:r>
      <w:r w:rsidR="00C13574" w:rsidRPr="005F25CA">
        <w:rPr>
          <w:rFonts w:ascii="Times New Roman" w:hAnsi="Times New Roman" w:cs="Times New Roman"/>
          <w:lang w:val="en-US"/>
        </w:rPr>
        <w:t>,</w:t>
      </w:r>
      <w:r w:rsidRPr="005F25CA">
        <w:rPr>
          <w:rFonts w:ascii="Times New Roman" w:hAnsi="Times New Roman" w:cs="Times New Roman"/>
          <w:lang w:val="en-US"/>
        </w:rPr>
        <w:t>000 anti-Xa IU/kg)</w:t>
      </w:r>
      <w:r w:rsidR="002A2D26" w:rsidRPr="005F25CA">
        <w:rPr>
          <w:rFonts w:ascii="Times New Roman" w:hAnsi="Times New Roman" w:cs="Times New Roman"/>
          <w:lang w:val="en-US"/>
        </w:rPr>
        <w:t xml:space="preserve"> </w:t>
      </w:r>
      <w:r w:rsidRPr="005F25CA">
        <w:rPr>
          <w:rFonts w:ascii="Times New Roman" w:hAnsi="Times New Roman" w:cs="Times New Roman"/>
          <w:lang w:val="en-US"/>
        </w:rPr>
        <w:t>of Flenox® followed by an SC injection of 1 mg/kg (100 anti-Xa IU/kg) within 15 minutes, then every 12 hours (a maximum of 10</w:t>
      </w:r>
      <w:r w:rsidR="00C13574" w:rsidRPr="005F25CA">
        <w:rPr>
          <w:rFonts w:ascii="Times New Roman" w:hAnsi="Times New Roman" w:cs="Times New Roman"/>
          <w:lang w:val="en-US"/>
        </w:rPr>
        <w:t>,</w:t>
      </w:r>
      <w:r w:rsidRPr="005F25CA">
        <w:rPr>
          <w:rFonts w:ascii="Times New Roman" w:hAnsi="Times New Roman" w:cs="Times New Roman"/>
          <w:lang w:val="en-US"/>
        </w:rPr>
        <w:t>000 anti-Xa IU for the first two SC doses).</w:t>
      </w:r>
    </w:p>
    <w:p w:rsidR="006E7A51" w:rsidRPr="005F25CA" w:rsidRDefault="006E7A51" w:rsidP="002701F5">
      <w:pPr>
        <w:jc w:val="both"/>
        <w:rPr>
          <w:rFonts w:ascii="Times New Roman" w:hAnsi="Times New Roman" w:cs="Times New Roman"/>
          <w:lang w:val="en-US"/>
        </w:rPr>
      </w:pPr>
      <w:r w:rsidRPr="005F25CA">
        <w:rPr>
          <w:rFonts w:ascii="Times New Roman" w:hAnsi="Times New Roman" w:cs="Times New Roman"/>
          <w:lang w:val="en-US"/>
        </w:rPr>
        <w:t>The first dose of Flenox® should be administered at any time between 15 minutes before and 30 minutes after the start of thrombolytic treatment.</w:t>
      </w:r>
    </w:p>
    <w:p w:rsidR="00512251" w:rsidRPr="005F25CA" w:rsidRDefault="006E7A51" w:rsidP="002701F5">
      <w:pPr>
        <w:pStyle w:val="4"/>
        <w:shd w:val="clear" w:color="auto" w:fill="auto"/>
        <w:spacing w:line="240" w:lineRule="auto"/>
        <w:ind w:firstLine="0"/>
        <w:jc w:val="both"/>
        <w:rPr>
          <w:sz w:val="24"/>
          <w:szCs w:val="24"/>
          <w:lang w:val="en-US"/>
        </w:rPr>
      </w:pPr>
      <w:r w:rsidRPr="005F25CA">
        <w:rPr>
          <w:sz w:val="24"/>
          <w:szCs w:val="24"/>
          <w:lang w:val="en-US"/>
        </w:rPr>
        <w:t>The recommended duration of treatment is 8 days, or until the patient is discharged from hospital if the hospitalization period is less than 8 days</w:t>
      </w:r>
      <w:r w:rsidR="00D36A8D" w:rsidRPr="005F25CA">
        <w:rPr>
          <w:sz w:val="24"/>
          <w:szCs w:val="24"/>
          <w:lang w:val="en-US"/>
        </w:rPr>
        <w:t>.</w:t>
      </w:r>
    </w:p>
    <w:p w:rsidR="005A299C" w:rsidRPr="005F25CA" w:rsidRDefault="005A299C" w:rsidP="002701F5">
      <w:pPr>
        <w:jc w:val="both"/>
        <w:rPr>
          <w:rFonts w:ascii="Times New Roman" w:hAnsi="Times New Roman" w:cs="Times New Roman"/>
          <w:lang w:val="en-US"/>
        </w:rPr>
      </w:pPr>
      <w:r w:rsidRPr="005F25CA">
        <w:rPr>
          <w:rFonts w:ascii="Times New Roman" w:hAnsi="Times New Roman" w:cs="Times New Roman"/>
          <w:lang w:val="en-US"/>
        </w:rPr>
        <w:t>Concomitant treatment: administration of acetylsalicylic acid must be instituted as soon as possible after symptoms appear, and maintained at a dosage of between 75 mg and 325 mg daily for at least 30 days, unless otherwise indicated.</w:t>
      </w:r>
    </w:p>
    <w:p w:rsidR="005A299C" w:rsidRPr="005F25CA" w:rsidRDefault="005A299C" w:rsidP="002701F5">
      <w:pPr>
        <w:jc w:val="both"/>
        <w:rPr>
          <w:rFonts w:ascii="Times New Roman" w:hAnsi="Times New Roman" w:cs="Times New Roman"/>
          <w:lang w:val="en-US"/>
        </w:rPr>
      </w:pPr>
      <w:r w:rsidRPr="005F25CA">
        <w:rPr>
          <w:rFonts w:ascii="Times New Roman" w:hAnsi="Times New Roman" w:cs="Times New Roman"/>
          <w:lang w:val="en-US"/>
        </w:rPr>
        <w:t>Patients treated by coronary angioplasty:</w:t>
      </w:r>
    </w:p>
    <w:p w:rsidR="005A299C" w:rsidRPr="005F25CA" w:rsidRDefault="005A299C" w:rsidP="00C13574">
      <w:pPr>
        <w:pStyle w:val="ab"/>
        <w:numPr>
          <w:ilvl w:val="0"/>
          <w:numId w:val="31"/>
        </w:numPr>
        <w:jc w:val="both"/>
        <w:rPr>
          <w:rFonts w:ascii="Times New Roman" w:hAnsi="Times New Roman" w:cs="Times New Roman"/>
          <w:lang w:val="en-US"/>
        </w:rPr>
      </w:pPr>
      <w:r w:rsidRPr="005F25CA">
        <w:rPr>
          <w:rFonts w:ascii="Times New Roman" w:hAnsi="Times New Roman" w:cs="Times New Roman"/>
          <w:lang w:val="en-US"/>
        </w:rPr>
        <w:t>if the last SC injection of Flenox® was performed less than 8 hours before balloon inflation, no additional administration is necessary.</w:t>
      </w:r>
    </w:p>
    <w:p w:rsidR="00512251" w:rsidRPr="005F25CA" w:rsidRDefault="005A299C" w:rsidP="00C13574">
      <w:pPr>
        <w:pStyle w:val="4"/>
        <w:numPr>
          <w:ilvl w:val="0"/>
          <w:numId w:val="31"/>
        </w:numPr>
        <w:shd w:val="clear" w:color="auto" w:fill="auto"/>
        <w:tabs>
          <w:tab w:val="right" w:pos="2798"/>
          <w:tab w:val="left" w:pos="3075"/>
        </w:tabs>
        <w:spacing w:line="240" w:lineRule="auto"/>
        <w:jc w:val="both"/>
        <w:rPr>
          <w:sz w:val="24"/>
          <w:szCs w:val="24"/>
          <w:lang w:val="en-US"/>
        </w:rPr>
      </w:pPr>
      <w:r w:rsidRPr="005F25CA">
        <w:rPr>
          <w:sz w:val="24"/>
          <w:szCs w:val="24"/>
          <w:lang w:val="en-US"/>
        </w:rPr>
        <w:t xml:space="preserve">if the last SC injection was performed more than 8 hours before balloon inflation, an IV bolus of 0.3 mg/kg (30 anti-Xa IU/kg) of Flenox® must be administered. In order to </w:t>
      </w:r>
      <w:r w:rsidR="00C13574" w:rsidRPr="005F25CA">
        <w:rPr>
          <w:sz w:val="24"/>
          <w:szCs w:val="24"/>
          <w:lang w:val="en-US"/>
        </w:rPr>
        <w:t>provid</w:t>
      </w:r>
      <w:r w:rsidRPr="005F25CA">
        <w:rPr>
          <w:sz w:val="24"/>
          <w:szCs w:val="24"/>
          <w:lang w:val="en-US"/>
        </w:rPr>
        <w:t>e the accuracy of the volumes to be injected, it is recommended to dilute the drug to 300 anti-Xa IU/</w:t>
      </w:r>
      <w:r w:rsidR="00D027D1" w:rsidRPr="005F25CA">
        <w:rPr>
          <w:sz w:val="24"/>
          <w:szCs w:val="24"/>
          <w:lang w:val="en-US"/>
        </w:rPr>
        <w:t>mL</w:t>
      </w:r>
      <w:r w:rsidRPr="005F25CA">
        <w:rPr>
          <w:sz w:val="24"/>
          <w:szCs w:val="24"/>
          <w:lang w:val="en-US"/>
        </w:rPr>
        <w:t xml:space="preserve"> (0.3 </w:t>
      </w:r>
      <w:r w:rsidR="00D027D1" w:rsidRPr="005F25CA">
        <w:rPr>
          <w:sz w:val="24"/>
          <w:szCs w:val="24"/>
          <w:lang w:val="en-US"/>
        </w:rPr>
        <w:t>mL</w:t>
      </w:r>
      <w:r w:rsidRPr="005F25CA">
        <w:rPr>
          <w:sz w:val="24"/>
          <w:szCs w:val="24"/>
          <w:lang w:val="en-US"/>
        </w:rPr>
        <w:t xml:space="preserve"> (3</w:t>
      </w:r>
      <w:r w:rsidR="00C13574" w:rsidRPr="005F25CA">
        <w:rPr>
          <w:sz w:val="24"/>
          <w:szCs w:val="24"/>
          <w:lang w:val="en-US"/>
        </w:rPr>
        <w:t>,</w:t>
      </w:r>
      <w:r w:rsidRPr="005F25CA">
        <w:rPr>
          <w:sz w:val="24"/>
          <w:szCs w:val="24"/>
          <w:lang w:val="en-US"/>
        </w:rPr>
        <w:t xml:space="preserve">000 anti-Xa IU) should be diluted in 10 </w:t>
      </w:r>
      <w:r w:rsidR="00D027D1" w:rsidRPr="005F25CA">
        <w:rPr>
          <w:sz w:val="24"/>
          <w:szCs w:val="24"/>
          <w:lang w:val="en-US"/>
        </w:rPr>
        <w:t>mL</w:t>
      </w:r>
      <w:r w:rsidRPr="005F25CA">
        <w:rPr>
          <w:sz w:val="24"/>
          <w:szCs w:val="24"/>
          <w:lang w:val="en-US"/>
        </w:rPr>
        <w:t xml:space="preserve"> of solvent (0.9% sodium chloride or 5% dextrose)) (see. Table)</w:t>
      </w:r>
      <w:r w:rsidR="00D36A8D" w:rsidRPr="005F25CA">
        <w:rPr>
          <w:sz w:val="24"/>
          <w:szCs w:val="24"/>
          <w:lang w:val="en-US"/>
        </w:rPr>
        <w:t>.</w:t>
      </w:r>
    </w:p>
    <w:p w:rsidR="00512251" w:rsidRPr="005F25CA" w:rsidRDefault="00AB53DE" w:rsidP="002701F5">
      <w:pPr>
        <w:pStyle w:val="41"/>
        <w:shd w:val="clear" w:color="auto" w:fill="auto"/>
        <w:spacing w:line="240" w:lineRule="auto"/>
        <w:jc w:val="both"/>
        <w:rPr>
          <w:sz w:val="24"/>
          <w:szCs w:val="24"/>
          <w:lang w:val="en-US"/>
        </w:rPr>
      </w:pPr>
      <w:r w:rsidRPr="005F25CA">
        <w:rPr>
          <w:sz w:val="24"/>
          <w:szCs w:val="24"/>
          <w:lang w:val="en-US"/>
        </w:rPr>
        <w:t>Volumes to inject when dilution is performed for coronary angioplasty patients</w:t>
      </w:r>
    </w:p>
    <w:tbl>
      <w:tblPr>
        <w:tblW w:w="0" w:type="auto"/>
        <w:tblLayout w:type="fixed"/>
        <w:tblCellMar>
          <w:left w:w="10" w:type="dxa"/>
          <w:right w:w="10" w:type="dxa"/>
        </w:tblCellMar>
        <w:tblLook w:val="0000" w:firstRow="0" w:lastRow="0" w:firstColumn="0" w:lastColumn="0" w:noHBand="0" w:noVBand="0"/>
      </w:tblPr>
      <w:tblGrid>
        <w:gridCol w:w="1286"/>
        <w:gridCol w:w="1843"/>
        <w:gridCol w:w="4394"/>
      </w:tblGrid>
      <w:tr w:rsidR="00AB53DE" w:rsidRPr="005F25CA" w:rsidTr="00C13574">
        <w:trPr>
          <w:trHeight w:hRule="exact" w:val="906"/>
        </w:trPr>
        <w:tc>
          <w:tcPr>
            <w:tcW w:w="1286" w:type="dxa"/>
            <w:tcBorders>
              <w:top w:val="single" w:sz="4" w:space="0" w:color="auto"/>
              <w:left w:val="single" w:sz="4" w:space="0" w:color="auto"/>
            </w:tcBorders>
            <w:shd w:val="clear" w:color="auto" w:fill="FFFFFF"/>
          </w:tcPr>
          <w:p w:rsidR="00AB53DE" w:rsidRPr="005F25CA" w:rsidRDefault="005F25CA" w:rsidP="00C13574">
            <w:pPr>
              <w:jc w:val="center"/>
              <w:rPr>
                <w:rFonts w:ascii="Times New Roman" w:hAnsi="Times New Roman" w:cs="Times New Roman"/>
                <w:sz w:val="20"/>
                <w:szCs w:val="20"/>
                <w:lang w:val="en-US"/>
              </w:rPr>
            </w:pPr>
            <w:r w:rsidRPr="005F25CA">
              <w:rPr>
                <w:rStyle w:val="21"/>
                <w:rFonts w:eastAsia="Trebuchet MS"/>
                <w:sz w:val="20"/>
                <w:szCs w:val="20"/>
                <w:lang w:val="en-US"/>
              </w:rPr>
              <w:t>Weight,</w:t>
            </w:r>
            <w:r>
              <w:rPr>
                <w:rStyle w:val="21"/>
                <w:rFonts w:eastAsia="Trebuchet MS"/>
                <w:sz w:val="20"/>
                <w:szCs w:val="20"/>
                <w:lang w:val="en-US"/>
              </w:rPr>
              <w:t xml:space="preserve"> </w:t>
            </w:r>
            <w:r w:rsidRPr="005F25CA">
              <w:rPr>
                <w:rStyle w:val="21"/>
                <w:rFonts w:eastAsia="Trebuchet MS"/>
                <w:sz w:val="20"/>
                <w:szCs w:val="20"/>
                <w:lang w:val="en-US"/>
              </w:rPr>
              <w:t>Kg</w:t>
            </w:r>
          </w:p>
        </w:tc>
        <w:tc>
          <w:tcPr>
            <w:tcW w:w="1843" w:type="dxa"/>
            <w:tcBorders>
              <w:top w:val="single" w:sz="4" w:space="0" w:color="auto"/>
              <w:left w:val="single" w:sz="4" w:space="0" w:color="auto"/>
            </w:tcBorders>
            <w:shd w:val="clear" w:color="auto" w:fill="FFFFFF"/>
          </w:tcPr>
          <w:p w:rsidR="00C13574" w:rsidRPr="005F25CA" w:rsidRDefault="00AB53DE" w:rsidP="00C13574">
            <w:pPr>
              <w:jc w:val="center"/>
              <w:rPr>
                <w:rStyle w:val="21"/>
                <w:rFonts w:eastAsia="Trebuchet MS"/>
                <w:sz w:val="20"/>
                <w:szCs w:val="20"/>
                <w:lang w:val="en-US"/>
              </w:rPr>
            </w:pPr>
            <w:r w:rsidRPr="005F25CA">
              <w:rPr>
                <w:rStyle w:val="21"/>
                <w:rFonts w:eastAsia="Trebuchet MS"/>
                <w:sz w:val="20"/>
                <w:szCs w:val="20"/>
                <w:lang w:val="en-US"/>
              </w:rPr>
              <w:t xml:space="preserve">Required dose, anti-Xa </w:t>
            </w:r>
          </w:p>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IU</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Volume to inject when diluted to final concentration of 300 IU/</w:t>
            </w:r>
            <w:r w:rsidR="00D027D1" w:rsidRPr="005F25CA">
              <w:rPr>
                <w:rStyle w:val="21"/>
                <w:rFonts w:eastAsia="Trebuchet MS"/>
                <w:sz w:val="20"/>
                <w:szCs w:val="20"/>
                <w:lang w:val="en-US"/>
              </w:rPr>
              <w:t>mL</w:t>
            </w:r>
            <w:r w:rsidRPr="005F25CA">
              <w:rPr>
                <w:rStyle w:val="21"/>
                <w:rFonts w:eastAsia="Trebuchet MS"/>
                <w:sz w:val="20"/>
                <w:szCs w:val="20"/>
                <w:lang w:val="en-US"/>
              </w:rPr>
              <w:t xml:space="preserve"> (</w:t>
            </w:r>
            <w:r w:rsidR="005F25CA" w:rsidRPr="005F25CA">
              <w:rPr>
                <w:rStyle w:val="21"/>
                <w:rFonts w:eastAsia="Trebuchet MS"/>
                <w:sz w:val="20"/>
                <w:szCs w:val="20"/>
                <w:lang w:val="en-US"/>
              </w:rPr>
              <w:t>i.e.</w:t>
            </w:r>
            <w:r w:rsidRPr="005F25CA">
              <w:rPr>
                <w:rStyle w:val="21"/>
                <w:rFonts w:eastAsia="Trebuchet MS"/>
                <w:sz w:val="20"/>
                <w:szCs w:val="20"/>
                <w:lang w:val="en-US"/>
              </w:rPr>
              <w:t xml:space="preserve"> 0.3 </w:t>
            </w:r>
            <w:r w:rsidR="00D027D1" w:rsidRPr="005F25CA">
              <w:rPr>
                <w:rStyle w:val="21"/>
                <w:rFonts w:eastAsia="Trebuchet MS"/>
                <w:sz w:val="20"/>
                <w:szCs w:val="20"/>
                <w:lang w:val="en-US"/>
              </w:rPr>
              <w:t>mL</w:t>
            </w:r>
            <w:r w:rsidRPr="005F25CA">
              <w:rPr>
                <w:rStyle w:val="21"/>
                <w:rFonts w:eastAsia="Trebuchet MS"/>
                <w:sz w:val="20"/>
                <w:szCs w:val="20"/>
                <w:lang w:val="en-US"/>
              </w:rPr>
              <w:t xml:space="preserve"> (3</w:t>
            </w:r>
            <w:r w:rsidR="00C13574" w:rsidRPr="005F25CA">
              <w:rPr>
                <w:rStyle w:val="21"/>
                <w:rFonts w:eastAsia="Trebuchet MS"/>
                <w:sz w:val="20"/>
                <w:szCs w:val="20"/>
                <w:lang w:val="en-US"/>
              </w:rPr>
              <w:t>,</w:t>
            </w:r>
            <w:r w:rsidRPr="005F25CA">
              <w:rPr>
                <w:rStyle w:val="21"/>
                <w:rFonts w:eastAsia="Trebuchet MS"/>
                <w:sz w:val="20"/>
                <w:szCs w:val="20"/>
                <w:lang w:val="en-US"/>
              </w:rPr>
              <w:t xml:space="preserve">000 anti-Xa IU) of Flenox® diluted in 10 </w:t>
            </w:r>
            <w:r w:rsidR="00D027D1" w:rsidRPr="005F25CA">
              <w:rPr>
                <w:rStyle w:val="21"/>
                <w:rFonts w:eastAsia="Trebuchet MS"/>
                <w:sz w:val="20"/>
                <w:szCs w:val="20"/>
                <w:lang w:val="en-US"/>
              </w:rPr>
              <w:t>mL</w:t>
            </w:r>
            <w:r w:rsidRPr="005F25CA">
              <w:rPr>
                <w:rStyle w:val="21"/>
                <w:rFonts w:eastAsia="Trebuchet MS"/>
                <w:sz w:val="20"/>
                <w:szCs w:val="20"/>
                <w:lang w:val="en-US"/>
              </w:rPr>
              <w:t xml:space="preserve"> of solvent)), </w:t>
            </w:r>
            <w:r w:rsidR="00D027D1" w:rsidRPr="005F25CA">
              <w:rPr>
                <w:rStyle w:val="21"/>
                <w:rFonts w:eastAsia="Trebuchet MS"/>
                <w:sz w:val="20"/>
                <w:szCs w:val="20"/>
                <w:lang w:val="en-US"/>
              </w:rPr>
              <w:t>mL</w:t>
            </w:r>
          </w:p>
        </w:tc>
      </w:tr>
      <w:tr w:rsidR="00AB53DE" w:rsidRPr="005F25CA" w:rsidTr="00C13574">
        <w:trPr>
          <w:trHeight w:hRule="exact" w:val="197"/>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45</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1350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4.5</w:t>
            </w:r>
          </w:p>
        </w:tc>
      </w:tr>
      <w:tr w:rsidR="00AB53DE" w:rsidRPr="005F25CA" w:rsidTr="00C13574">
        <w:trPr>
          <w:trHeight w:hRule="exact" w:val="192"/>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50</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1500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5</w:t>
            </w:r>
          </w:p>
        </w:tc>
      </w:tr>
      <w:tr w:rsidR="00AB53DE" w:rsidRPr="005F25CA" w:rsidTr="00C13574">
        <w:trPr>
          <w:trHeight w:hRule="exact" w:val="197"/>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55</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1650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5.5</w:t>
            </w:r>
          </w:p>
        </w:tc>
      </w:tr>
      <w:tr w:rsidR="00AB53DE" w:rsidRPr="005F25CA" w:rsidTr="00C13574">
        <w:trPr>
          <w:trHeight w:hRule="exact" w:val="192"/>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60</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1800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6</w:t>
            </w:r>
          </w:p>
        </w:tc>
      </w:tr>
      <w:tr w:rsidR="00AB53DE" w:rsidRPr="005F25CA" w:rsidTr="00C13574">
        <w:trPr>
          <w:trHeight w:hRule="exact" w:val="197"/>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65</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1950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6.5</w:t>
            </w:r>
          </w:p>
        </w:tc>
      </w:tr>
      <w:tr w:rsidR="00AB53DE" w:rsidRPr="005F25CA" w:rsidTr="00C13574">
        <w:trPr>
          <w:trHeight w:hRule="exact" w:val="192"/>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70</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2100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7</w:t>
            </w:r>
          </w:p>
        </w:tc>
      </w:tr>
      <w:tr w:rsidR="00AB53DE" w:rsidRPr="005F25CA" w:rsidTr="00C13574">
        <w:trPr>
          <w:trHeight w:hRule="exact" w:val="197"/>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75</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2250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7.5</w:t>
            </w:r>
          </w:p>
        </w:tc>
      </w:tr>
      <w:tr w:rsidR="00AB53DE" w:rsidRPr="005F25CA" w:rsidTr="00C13574">
        <w:trPr>
          <w:trHeight w:hRule="exact" w:val="192"/>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80</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2400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8</w:t>
            </w:r>
          </w:p>
        </w:tc>
      </w:tr>
      <w:tr w:rsidR="00AB53DE" w:rsidRPr="005F25CA" w:rsidTr="00C13574">
        <w:trPr>
          <w:trHeight w:hRule="exact" w:val="197"/>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85</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2550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8.5</w:t>
            </w:r>
          </w:p>
        </w:tc>
      </w:tr>
      <w:tr w:rsidR="00AB53DE" w:rsidRPr="005F25CA" w:rsidTr="00C13574">
        <w:trPr>
          <w:trHeight w:hRule="exact" w:val="192"/>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90</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2700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9</w:t>
            </w:r>
          </w:p>
        </w:tc>
      </w:tr>
      <w:tr w:rsidR="00AB53DE" w:rsidRPr="005F25CA" w:rsidTr="00C13574">
        <w:trPr>
          <w:trHeight w:hRule="exact" w:val="197"/>
        </w:trPr>
        <w:tc>
          <w:tcPr>
            <w:tcW w:w="1286"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95</w:t>
            </w:r>
          </w:p>
        </w:tc>
        <w:tc>
          <w:tcPr>
            <w:tcW w:w="1843" w:type="dxa"/>
            <w:tcBorders>
              <w:top w:val="single" w:sz="4" w:space="0" w:color="auto"/>
              <w:lef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2850</w:t>
            </w:r>
          </w:p>
        </w:tc>
        <w:tc>
          <w:tcPr>
            <w:tcW w:w="4394" w:type="dxa"/>
            <w:tcBorders>
              <w:top w:val="single" w:sz="4" w:space="0" w:color="auto"/>
              <w:left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9.5</w:t>
            </w:r>
          </w:p>
        </w:tc>
      </w:tr>
      <w:tr w:rsidR="00AB53DE" w:rsidRPr="005F25CA" w:rsidTr="00C13574">
        <w:trPr>
          <w:trHeight w:hRule="exact" w:val="202"/>
        </w:trPr>
        <w:tc>
          <w:tcPr>
            <w:tcW w:w="1286" w:type="dxa"/>
            <w:tcBorders>
              <w:top w:val="single" w:sz="4" w:space="0" w:color="auto"/>
              <w:left w:val="single" w:sz="4" w:space="0" w:color="auto"/>
              <w:bottom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100</w:t>
            </w:r>
          </w:p>
        </w:tc>
        <w:tc>
          <w:tcPr>
            <w:tcW w:w="1843" w:type="dxa"/>
            <w:tcBorders>
              <w:top w:val="single" w:sz="4" w:space="0" w:color="auto"/>
              <w:left w:val="single" w:sz="4" w:space="0" w:color="auto"/>
              <w:bottom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3000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B53DE" w:rsidRPr="005F25CA" w:rsidRDefault="00AB53DE" w:rsidP="00C13574">
            <w:pPr>
              <w:jc w:val="center"/>
              <w:rPr>
                <w:rFonts w:ascii="Times New Roman" w:hAnsi="Times New Roman" w:cs="Times New Roman"/>
                <w:sz w:val="20"/>
                <w:szCs w:val="20"/>
                <w:lang w:val="en-US"/>
              </w:rPr>
            </w:pPr>
            <w:r w:rsidRPr="005F25CA">
              <w:rPr>
                <w:rStyle w:val="21"/>
                <w:rFonts w:eastAsia="Trebuchet MS"/>
                <w:sz w:val="20"/>
                <w:szCs w:val="20"/>
                <w:lang w:val="en-US"/>
              </w:rPr>
              <w:t>10</w:t>
            </w:r>
          </w:p>
        </w:tc>
      </w:tr>
    </w:tbl>
    <w:p w:rsidR="00512251" w:rsidRPr="005F25CA" w:rsidRDefault="00512251" w:rsidP="002701F5">
      <w:pPr>
        <w:rPr>
          <w:rFonts w:ascii="Times New Roman" w:hAnsi="Times New Roman" w:cs="Times New Roman"/>
          <w:lang w:val="en-US"/>
        </w:rPr>
      </w:pPr>
    </w:p>
    <w:p w:rsidR="00512251" w:rsidRPr="005F25CA" w:rsidRDefault="00BA07F1" w:rsidP="002701F5">
      <w:pPr>
        <w:jc w:val="both"/>
        <w:rPr>
          <w:rFonts w:ascii="Times New Roman" w:hAnsi="Times New Roman" w:cs="Times New Roman"/>
          <w:lang w:val="en-US"/>
        </w:rPr>
      </w:pPr>
      <w:r w:rsidRPr="005F25CA">
        <w:rPr>
          <w:rFonts w:ascii="Times New Roman" w:hAnsi="Times New Roman" w:cs="Times New Roman"/>
          <w:lang w:val="en-US"/>
        </w:rPr>
        <w:t xml:space="preserve">In patients aged 75 and over, treated for acute ST-segment elevation myocardial </w:t>
      </w:r>
      <w:r w:rsidR="005F25CA" w:rsidRPr="005F25CA">
        <w:rPr>
          <w:rFonts w:ascii="Times New Roman" w:hAnsi="Times New Roman" w:cs="Times New Roman"/>
          <w:lang w:val="en-US"/>
        </w:rPr>
        <w:t>infarction, the</w:t>
      </w:r>
      <w:r w:rsidRPr="005F25CA">
        <w:rPr>
          <w:rFonts w:ascii="Times New Roman" w:hAnsi="Times New Roman" w:cs="Times New Roman"/>
          <w:lang w:val="en-US"/>
        </w:rPr>
        <w:t xml:space="preserve"> initial IV bolus injection should not be administered. A SC dose of 75 anti-Xa IU/kg every 12 hours should be administered (maximum of 7</w:t>
      </w:r>
      <w:r w:rsidR="00622D20" w:rsidRPr="005F25CA">
        <w:rPr>
          <w:rFonts w:ascii="Times New Roman" w:hAnsi="Times New Roman" w:cs="Times New Roman"/>
          <w:lang w:val="en-US"/>
        </w:rPr>
        <w:t>,</w:t>
      </w:r>
      <w:r w:rsidRPr="005F25CA">
        <w:rPr>
          <w:rFonts w:ascii="Times New Roman" w:hAnsi="Times New Roman" w:cs="Times New Roman"/>
          <w:lang w:val="en-US"/>
        </w:rPr>
        <w:t>500 anti-Xa IU for the first two injections only)</w:t>
      </w:r>
      <w:r w:rsidR="00D36A8D" w:rsidRPr="005F25CA">
        <w:rPr>
          <w:rFonts w:ascii="Times New Roman" w:hAnsi="Times New Roman" w:cs="Times New Roman"/>
          <w:lang w:val="en-US"/>
        </w:rPr>
        <w:t>.</w:t>
      </w:r>
    </w:p>
    <w:p w:rsidR="00622D20" w:rsidRPr="005F25CA" w:rsidRDefault="00622D20" w:rsidP="002701F5">
      <w:pPr>
        <w:pStyle w:val="30"/>
        <w:shd w:val="clear" w:color="auto" w:fill="auto"/>
        <w:spacing w:before="0" w:line="240" w:lineRule="auto"/>
        <w:jc w:val="both"/>
        <w:rPr>
          <w:sz w:val="24"/>
          <w:szCs w:val="24"/>
          <w:lang w:val="en-US"/>
        </w:rPr>
      </w:pPr>
    </w:p>
    <w:p w:rsidR="00512251" w:rsidRPr="005F25CA" w:rsidRDefault="001B5CE4" w:rsidP="002701F5">
      <w:pPr>
        <w:pStyle w:val="30"/>
        <w:shd w:val="clear" w:color="auto" w:fill="auto"/>
        <w:spacing w:before="0" w:line="240" w:lineRule="auto"/>
        <w:jc w:val="both"/>
        <w:rPr>
          <w:sz w:val="24"/>
          <w:szCs w:val="24"/>
          <w:lang w:val="en-US"/>
        </w:rPr>
      </w:pPr>
      <w:r w:rsidRPr="005F25CA">
        <w:rPr>
          <w:sz w:val="24"/>
          <w:szCs w:val="24"/>
          <w:lang w:val="en-US"/>
        </w:rPr>
        <w:t>Children</w:t>
      </w:r>
      <w:r w:rsidR="00D36A8D" w:rsidRPr="005F25CA">
        <w:rPr>
          <w:sz w:val="24"/>
          <w:szCs w:val="24"/>
          <w:lang w:val="en-US"/>
        </w:rPr>
        <w:t>.</w:t>
      </w:r>
    </w:p>
    <w:p w:rsidR="00512251" w:rsidRPr="005F25CA" w:rsidRDefault="001B5CE4" w:rsidP="002701F5">
      <w:pPr>
        <w:pStyle w:val="4"/>
        <w:shd w:val="clear" w:color="auto" w:fill="auto"/>
        <w:tabs>
          <w:tab w:val="left" w:pos="6625"/>
          <w:tab w:val="left" w:leader="hyphen" w:pos="8896"/>
          <w:tab w:val="left" w:leader="hyphen" w:pos="9141"/>
        </w:tabs>
        <w:spacing w:line="240" w:lineRule="auto"/>
        <w:ind w:firstLine="0"/>
        <w:jc w:val="both"/>
        <w:rPr>
          <w:sz w:val="24"/>
          <w:szCs w:val="24"/>
          <w:lang w:val="en-US"/>
        </w:rPr>
      </w:pPr>
      <w:r w:rsidRPr="005F25CA">
        <w:rPr>
          <w:sz w:val="24"/>
          <w:szCs w:val="24"/>
          <w:lang w:val="en-US"/>
        </w:rPr>
        <w:t>Due to the lack of relevant data LMWH is not recommended in pediatric patients.</w:t>
      </w:r>
    </w:p>
    <w:p w:rsidR="00622D20" w:rsidRPr="005F25CA" w:rsidRDefault="00622D20" w:rsidP="002701F5">
      <w:pPr>
        <w:pStyle w:val="30"/>
        <w:shd w:val="clear" w:color="auto" w:fill="auto"/>
        <w:spacing w:before="0" w:line="240" w:lineRule="auto"/>
        <w:jc w:val="both"/>
        <w:rPr>
          <w:sz w:val="24"/>
          <w:szCs w:val="24"/>
          <w:lang w:val="en-US"/>
        </w:rPr>
      </w:pPr>
    </w:p>
    <w:p w:rsidR="00512251" w:rsidRPr="005F25CA" w:rsidRDefault="001B5CE4" w:rsidP="002701F5">
      <w:pPr>
        <w:pStyle w:val="30"/>
        <w:shd w:val="clear" w:color="auto" w:fill="auto"/>
        <w:spacing w:before="0" w:line="240" w:lineRule="auto"/>
        <w:jc w:val="both"/>
        <w:rPr>
          <w:sz w:val="24"/>
          <w:szCs w:val="24"/>
          <w:lang w:val="en-US"/>
        </w:rPr>
      </w:pPr>
      <w:r w:rsidRPr="005F25CA">
        <w:rPr>
          <w:sz w:val="24"/>
          <w:szCs w:val="24"/>
          <w:lang w:val="en-US"/>
        </w:rPr>
        <w:lastRenderedPageBreak/>
        <w:t>Overdose</w:t>
      </w:r>
      <w:r w:rsidR="00D36A8D" w:rsidRPr="005F25CA">
        <w:rPr>
          <w:sz w:val="24"/>
          <w:szCs w:val="24"/>
          <w:lang w:val="en-US"/>
        </w:rPr>
        <w:t>.</w:t>
      </w:r>
    </w:p>
    <w:p w:rsidR="001B5CE4" w:rsidRPr="005F25CA" w:rsidRDefault="001B5CE4" w:rsidP="002701F5">
      <w:pPr>
        <w:jc w:val="both"/>
        <w:rPr>
          <w:rFonts w:ascii="Times New Roman" w:hAnsi="Times New Roman" w:cs="Times New Roman"/>
          <w:lang w:val="en-US"/>
        </w:rPr>
      </w:pPr>
      <w:r w:rsidRPr="005F25CA">
        <w:rPr>
          <w:rFonts w:ascii="Times New Roman" w:hAnsi="Times New Roman" w:cs="Times New Roman"/>
          <w:lang w:val="en-US"/>
        </w:rPr>
        <w:t>Accidental overdose following subcutaneous administration of massive doses of low-molecular-weight heparin may result in hemorrhagic complications.</w:t>
      </w:r>
    </w:p>
    <w:p w:rsidR="001B5CE4" w:rsidRPr="005F25CA" w:rsidRDefault="001B5CE4" w:rsidP="002701F5">
      <w:pPr>
        <w:jc w:val="both"/>
        <w:rPr>
          <w:rFonts w:ascii="Times New Roman" w:hAnsi="Times New Roman" w:cs="Times New Roman"/>
          <w:lang w:val="en-US"/>
        </w:rPr>
      </w:pPr>
      <w:r w:rsidRPr="005F25CA">
        <w:rPr>
          <w:rFonts w:ascii="Times New Roman" w:hAnsi="Times New Roman" w:cs="Times New Roman"/>
          <w:lang w:val="en-US"/>
        </w:rPr>
        <w:t>In case of hemorrhage, certain patients can be treated with protamine sulfate, taking the following factors into account:</w:t>
      </w:r>
    </w:p>
    <w:p w:rsidR="001B5CE4" w:rsidRPr="005F25CA" w:rsidRDefault="001B5CE4" w:rsidP="00622D20">
      <w:pPr>
        <w:pStyle w:val="ab"/>
        <w:numPr>
          <w:ilvl w:val="0"/>
          <w:numId w:val="32"/>
        </w:numPr>
        <w:jc w:val="both"/>
        <w:rPr>
          <w:rFonts w:ascii="Times New Roman" w:hAnsi="Times New Roman" w:cs="Times New Roman"/>
          <w:lang w:val="en-US"/>
        </w:rPr>
      </w:pPr>
      <w:r w:rsidRPr="005F25CA">
        <w:rPr>
          <w:rFonts w:ascii="Times New Roman" w:hAnsi="Times New Roman" w:cs="Times New Roman"/>
          <w:lang w:val="en-US"/>
        </w:rPr>
        <w:t>its efficacy is far lower than that reported in overdoses with unfractionated heparin,</w:t>
      </w:r>
    </w:p>
    <w:p w:rsidR="001B5CE4" w:rsidRPr="005F25CA" w:rsidRDefault="001B5CE4" w:rsidP="00622D20">
      <w:pPr>
        <w:pStyle w:val="ab"/>
        <w:numPr>
          <w:ilvl w:val="0"/>
          <w:numId w:val="32"/>
        </w:numPr>
        <w:jc w:val="both"/>
        <w:rPr>
          <w:rFonts w:ascii="Times New Roman" w:hAnsi="Times New Roman" w:cs="Times New Roman"/>
          <w:lang w:val="en-US"/>
        </w:rPr>
      </w:pPr>
      <w:r w:rsidRPr="005F25CA">
        <w:rPr>
          <w:rFonts w:ascii="Times New Roman" w:hAnsi="Times New Roman" w:cs="Times New Roman"/>
          <w:lang w:val="en-US"/>
        </w:rPr>
        <w:t>due to its undesirable effects (particularly anaphylactic shock), the benefit/risk ratio of protamine sulfate should be carefully weighed beforehand.</w:t>
      </w:r>
    </w:p>
    <w:p w:rsidR="001B5CE4" w:rsidRPr="005F25CA" w:rsidRDefault="001B5CE4" w:rsidP="002701F5">
      <w:pPr>
        <w:jc w:val="both"/>
        <w:rPr>
          <w:rFonts w:ascii="Times New Roman" w:hAnsi="Times New Roman" w:cs="Times New Roman"/>
          <w:lang w:val="en-US"/>
        </w:rPr>
      </w:pPr>
      <w:r w:rsidRPr="005F25CA">
        <w:rPr>
          <w:rFonts w:ascii="Times New Roman" w:hAnsi="Times New Roman" w:cs="Times New Roman"/>
          <w:lang w:val="en-US"/>
        </w:rPr>
        <w:t>Neutralization is performed by slow intravenous injection of protamine (sulfate or hydrochloride).</w:t>
      </w:r>
    </w:p>
    <w:p w:rsidR="00512251" w:rsidRPr="005F25CA" w:rsidRDefault="001B5CE4" w:rsidP="002701F5">
      <w:pPr>
        <w:pStyle w:val="4"/>
        <w:shd w:val="clear" w:color="auto" w:fill="auto"/>
        <w:spacing w:line="240" w:lineRule="auto"/>
        <w:ind w:firstLine="0"/>
        <w:jc w:val="both"/>
        <w:rPr>
          <w:sz w:val="24"/>
          <w:szCs w:val="24"/>
          <w:lang w:val="en-US"/>
        </w:rPr>
      </w:pPr>
      <w:r w:rsidRPr="005F25CA">
        <w:rPr>
          <w:sz w:val="24"/>
          <w:szCs w:val="24"/>
          <w:lang w:val="en-US"/>
        </w:rPr>
        <w:t>The protamine dose required depends on</w:t>
      </w:r>
      <w:r w:rsidR="00D36A8D" w:rsidRPr="005F25CA">
        <w:rPr>
          <w:sz w:val="24"/>
          <w:szCs w:val="24"/>
          <w:lang w:val="en-US"/>
        </w:rPr>
        <w:t>:</w:t>
      </w:r>
    </w:p>
    <w:p w:rsidR="004A0620" w:rsidRPr="005F25CA" w:rsidRDefault="004A0620" w:rsidP="00622D20">
      <w:pPr>
        <w:pStyle w:val="ab"/>
        <w:numPr>
          <w:ilvl w:val="0"/>
          <w:numId w:val="33"/>
        </w:numPr>
        <w:jc w:val="both"/>
        <w:rPr>
          <w:rFonts w:ascii="Times New Roman" w:hAnsi="Times New Roman" w:cs="Times New Roman"/>
          <w:lang w:val="en-US"/>
        </w:rPr>
      </w:pPr>
      <w:r w:rsidRPr="005F25CA">
        <w:rPr>
          <w:rFonts w:ascii="Times New Roman" w:hAnsi="Times New Roman" w:cs="Times New Roman"/>
          <w:lang w:val="en-US"/>
        </w:rPr>
        <w:t>the heparin dose injected (100 anti-heparin units of protamine neutralizes the activity of 100 anti-Xa IU of low-molecular-weight heparin), if enoxaparin sodium was administered within the last 8 hours.</w:t>
      </w:r>
    </w:p>
    <w:p w:rsidR="004A0620" w:rsidRPr="005F25CA" w:rsidRDefault="004A0620" w:rsidP="00622D20">
      <w:pPr>
        <w:pStyle w:val="ab"/>
        <w:numPr>
          <w:ilvl w:val="0"/>
          <w:numId w:val="33"/>
        </w:numPr>
        <w:jc w:val="both"/>
        <w:rPr>
          <w:rFonts w:ascii="Times New Roman" w:hAnsi="Times New Roman" w:cs="Times New Roman"/>
          <w:lang w:val="en-US"/>
        </w:rPr>
      </w:pPr>
      <w:r w:rsidRPr="005F25CA">
        <w:rPr>
          <w:rFonts w:ascii="Times New Roman" w:hAnsi="Times New Roman" w:cs="Times New Roman"/>
          <w:lang w:val="en-US"/>
        </w:rPr>
        <w:t>the time since the heparin injection:</w:t>
      </w:r>
    </w:p>
    <w:p w:rsidR="004A0620" w:rsidRPr="005F25CA" w:rsidRDefault="004A0620" w:rsidP="00622D20">
      <w:pPr>
        <w:pStyle w:val="ab"/>
        <w:numPr>
          <w:ilvl w:val="0"/>
          <w:numId w:val="33"/>
        </w:numPr>
        <w:jc w:val="both"/>
        <w:rPr>
          <w:rFonts w:ascii="Times New Roman" w:hAnsi="Times New Roman" w:cs="Times New Roman"/>
          <w:lang w:val="en-US"/>
        </w:rPr>
      </w:pPr>
      <w:r w:rsidRPr="005F25CA">
        <w:rPr>
          <w:rFonts w:ascii="Times New Roman" w:hAnsi="Times New Roman" w:cs="Times New Roman"/>
          <w:lang w:val="en-US"/>
        </w:rPr>
        <w:t>an infusion of 50 anti-heparin units of protamine per 100 anti-Xa IU of enoxaparin sodium may be administered if enoxaparin sodium was given more than 8 hours previously, or if a second dose of protamine seems necessary.</w:t>
      </w:r>
    </w:p>
    <w:p w:rsidR="004A0620" w:rsidRPr="005F25CA" w:rsidRDefault="004A0620" w:rsidP="00622D20">
      <w:pPr>
        <w:pStyle w:val="ab"/>
        <w:numPr>
          <w:ilvl w:val="0"/>
          <w:numId w:val="33"/>
        </w:numPr>
        <w:jc w:val="both"/>
        <w:rPr>
          <w:rFonts w:ascii="Times New Roman" w:hAnsi="Times New Roman" w:cs="Times New Roman"/>
          <w:lang w:val="en-US"/>
        </w:rPr>
      </w:pPr>
      <w:r w:rsidRPr="005F25CA">
        <w:rPr>
          <w:rFonts w:ascii="Times New Roman" w:hAnsi="Times New Roman" w:cs="Times New Roman"/>
          <w:lang w:val="en-US"/>
        </w:rPr>
        <w:t>if the injection of enoxaparin sodium was given more than 12 hours previously, it is not necessary to administer protamine.</w:t>
      </w:r>
    </w:p>
    <w:p w:rsidR="00512251" w:rsidRPr="005F25CA" w:rsidRDefault="004A0620" w:rsidP="00622D20">
      <w:pPr>
        <w:pStyle w:val="4"/>
        <w:shd w:val="clear" w:color="auto" w:fill="auto"/>
        <w:spacing w:line="240" w:lineRule="auto"/>
        <w:ind w:firstLine="0"/>
        <w:jc w:val="both"/>
        <w:rPr>
          <w:sz w:val="24"/>
          <w:szCs w:val="24"/>
          <w:lang w:val="en-US"/>
        </w:rPr>
      </w:pPr>
      <w:r w:rsidRPr="005F25CA">
        <w:rPr>
          <w:sz w:val="24"/>
          <w:szCs w:val="24"/>
          <w:lang w:val="en-US"/>
        </w:rPr>
        <w:t>These recommendations concern patients with normal renal function receiving repeated doses</w:t>
      </w:r>
      <w:r w:rsidR="00D36A8D" w:rsidRPr="005F25CA">
        <w:rPr>
          <w:sz w:val="24"/>
          <w:szCs w:val="24"/>
          <w:lang w:val="en-US"/>
        </w:rPr>
        <w:t>.</w:t>
      </w:r>
    </w:p>
    <w:p w:rsidR="00D53024" w:rsidRPr="005F25CA" w:rsidRDefault="00D53024" w:rsidP="00622D20">
      <w:pPr>
        <w:jc w:val="both"/>
        <w:rPr>
          <w:rFonts w:ascii="Times New Roman" w:hAnsi="Times New Roman" w:cs="Times New Roman"/>
          <w:lang w:val="en-US"/>
        </w:rPr>
      </w:pPr>
      <w:r w:rsidRPr="005F25CA">
        <w:rPr>
          <w:rFonts w:ascii="Times New Roman" w:hAnsi="Times New Roman" w:cs="Times New Roman"/>
          <w:lang w:val="en-US"/>
        </w:rPr>
        <w:t>Nevertheless, the anti-Xa activity cannot be completely neutralized. Furthermore, the neutralization may be transient due to the absorption pharmacokinetics of low-molecular-weight heparin, which may require dividing the total calculated dose of protamine into several injections (2 to 4) given over 24 hours.</w:t>
      </w:r>
    </w:p>
    <w:p w:rsidR="00512251" w:rsidRPr="005F25CA" w:rsidRDefault="00D53024" w:rsidP="00622D20">
      <w:pPr>
        <w:pStyle w:val="4"/>
        <w:shd w:val="clear" w:color="auto" w:fill="auto"/>
        <w:spacing w:line="240" w:lineRule="auto"/>
        <w:ind w:firstLine="0"/>
        <w:jc w:val="both"/>
        <w:rPr>
          <w:sz w:val="24"/>
          <w:szCs w:val="24"/>
          <w:lang w:val="en-US"/>
        </w:rPr>
      </w:pPr>
      <w:r w:rsidRPr="005F25CA">
        <w:rPr>
          <w:sz w:val="24"/>
          <w:szCs w:val="24"/>
          <w:lang w:val="en-US"/>
        </w:rPr>
        <w:t>No serious consequences are likely after ingestion of low-molecular-weight heparin, even in massive quantities (no cases reported), due to the very low gastric and intestinal absorption of the drug</w:t>
      </w:r>
      <w:r w:rsidR="00D36A8D" w:rsidRPr="005F25CA">
        <w:rPr>
          <w:sz w:val="24"/>
          <w:szCs w:val="24"/>
          <w:lang w:val="en-US"/>
        </w:rPr>
        <w:t>.</w:t>
      </w:r>
    </w:p>
    <w:p w:rsidR="00622D20" w:rsidRPr="005F25CA" w:rsidRDefault="00622D20" w:rsidP="00622D20">
      <w:pPr>
        <w:pStyle w:val="30"/>
        <w:shd w:val="clear" w:color="auto" w:fill="auto"/>
        <w:spacing w:before="0" w:line="240" w:lineRule="auto"/>
        <w:jc w:val="both"/>
        <w:rPr>
          <w:sz w:val="24"/>
          <w:szCs w:val="24"/>
          <w:lang w:val="en-US"/>
        </w:rPr>
      </w:pPr>
    </w:p>
    <w:p w:rsidR="00512251" w:rsidRPr="005F25CA" w:rsidRDefault="000D6137" w:rsidP="00622D20">
      <w:pPr>
        <w:pStyle w:val="30"/>
        <w:shd w:val="clear" w:color="auto" w:fill="auto"/>
        <w:spacing w:before="0" w:line="240" w:lineRule="auto"/>
        <w:jc w:val="both"/>
        <w:rPr>
          <w:sz w:val="24"/>
          <w:szCs w:val="24"/>
          <w:lang w:val="en-US"/>
        </w:rPr>
      </w:pPr>
      <w:r w:rsidRPr="005F25CA">
        <w:rPr>
          <w:sz w:val="24"/>
          <w:szCs w:val="24"/>
          <w:lang w:val="en-US"/>
        </w:rPr>
        <w:t>Undesirable effects.</w:t>
      </w:r>
    </w:p>
    <w:p w:rsidR="00512251" w:rsidRPr="005F25CA" w:rsidRDefault="00234934" w:rsidP="00622D20">
      <w:pPr>
        <w:pStyle w:val="4"/>
        <w:spacing w:line="240" w:lineRule="auto"/>
        <w:ind w:firstLine="0"/>
        <w:jc w:val="both"/>
        <w:rPr>
          <w:sz w:val="24"/>
          <w:szCs w:val="24"/>
          <w:lang w:val="en-US"/>
        </w:rPr>
      </w:pPr>
      <w:r w:rsidRPr="005F25CA">
        <w:rPr>
          <w:sz w:val="24"/>
          <w:szCs w:val="24"/>
          <w:lang w:val="en-US"/>
        </w:rPr>
        <w:t xml:space="preserve">Major </w:t>
      </w:r>
      <w:r w:rsidR="005F25CA" w:rsidRPr="005F25CA">
        <w:rPr>
          <w:sz w:val="24"/>
          <w:szCs w:val="24"/>
          <w:lang w:val="en-US"/>
        </w:rPr>
        <w:t>hemorrhagic</w:t>
      </w:r>
      <w:r w:rsidRPr="005F25CA">
        <w:rPr>
          <w:sz w:val="24"/>
          <w:szCs w:val="24"/>
          <w:lang w:val="en-US"/>
        </w:rPr>
        <w:t xml:space="preserve"> complications including peritoneal and intracranial bleeding have been reported, in rare instances these have been fatal.</w:t>
      </w:r>
      <w:r w:rsidR="00D36A8D" w:rsidRPr="005F25CA">
        <w:rPr>
          <w:sz w:val="24"/>
          <w:szCs w:val="24"/>
          <w:lang w:val="en-US"/>
        </w:rPr>
        <w:t xml:space="preserve"> </w:t>
      </w:r>
      <w:r w:rsidR="00D2181B" w:rsidRPr="005F25CA">
        <w:rPr>
          <w:sz w:val="24"/>
          <w:szCs w:val="24"/>
          <w:lang w:val="en-US"/>
        </w:rPr>
        <w:t xml:space="preserve">Hemorrhagic complications (bleeding), such as </w:t>
      </w:r>
      <w:r w:rsidR="005F25CA" w:rsidRPr="005F25CA">
        <w:rPr>
          <w:sz w:val="24"/>
          <w:szCs w:val="24"/>
          <w:lang w:val="en-US"/>
        </w:rPr>
        <w:t>hematoma</w:t>
      </w:r>
      <w:r w:rsidR="00D2181B" w:rsidRPr="005F25CA">
        <w:rPr>
          <w:sz w:val="24"/>
          <w:szCs w:val="24"/>
          <w:lang w:val="en-US"/>
        </w:rPr>
        <w:t xml:space="preserve">, ecchymosis other than at injection site, wound </w:t>
      </w:r>
      <w:r w:rsidR="005F25CA" w:rsidRPr="005F25CA">
        <w:rPr>
          <w:sz w:val="24"/>
          <w:szCs w:val="24"/>
          <w:lang w:val="en-US"/>
        </w:rPr>
        <w:t>hematoma</w:t>
      </w:r>
      <w:r w:rsidR="00D2181B" w:rsidRPr="005F25CA">
        <w:rPr>
          <w:sz w:val="24"/>
          <w:szCs w:val="24"/>
          <w:lang w:val="en-US"/>
        </w:rPr>
        <w:t xml:space="preserve">, </w:t>
      </w:r>
      <w:r w:rsidR="005F25CA" w:rsidRPr="005F25CA">
        <w:rPr>
          <w:sz w:val="24"/>
          <w:szCs w:val="24"/>
          <w:lang w:val="en-US"/>
        </w:rPr>
        <w:t>hematuria</w:t>
      </w:r>
      <w:r w:rsidR="00D2181B" w:rsidRPr="005F25CA">
        <w:rPr>
          <w:sz w:val="24"/>
          <w:szCs w:val="24"/>
          <w:lang w:val="en-US"/>
        </w:rPr>
        <w:t xml:space="preserve">, epistaxis and gastro-intestinal </w:t>
      </w:r>
      <w:r w:rsidR="005F25CA" w:rsidRPr="005F25CA">
        <w:rPr>
          <w:sz w:val="24"/>
          <w:szCs w:val="24"/>
          <w:lang w:val="en-US"/>
        </w:rPr>
        <w:t>hemorrhage</w:t>
      </w:r>
      <w:r w:rsidR="00D2181B" w:rsidRPr="005F25CA">
        <w:rPr>
          <w:sz w:val="24"/>
          <w:szCs w:val="24"/>
          <w:lang w:val="en-US"/>
        </w:rPr>
        <w:t xml:space="preserve"> have been reported. Hemorrhagic manifestations were, mainly, related to</w:t>
      </w:r>
      <w:r w:rsidR="00D36A8D" w:rsidRPr="005F25CA">
        <w:rPr>
          <w:sz w:val="24"/>
          <w:szCs w:val="24"/>
          <w:lang w:val="en-US"/>
        </w:rPr>
        <w:t>:</w:t>
      </w:r>
    </w:p>
    <w:p w:rsidR="00512251" w:rsidRPr="005F25CA" w:rsidRDefault="00007BB7" w:rsidP="00622D20">
      <w:pPr>
        <w:pStyle w:val="4"/>
        <w:numPr>
          <w:ilvl w:val="0"/>
          <w:numId w:val="34"/>
        </w:numPr>
        <w:shd w:val="clear" w:color="auto" w:fill="auto"/>
        <w:spacing w:line="240" w:lineRule="auto"/>
        <w:jc w:val="both"/>
        <w:rPr>
          <w:sz w:val="24"/>
          <w:szCs w:val="24"/>
          <w:lang w:val="en-US"/>
        </w:rPr>
      </w:pPr>
      <w:r w:rsidRPr="005F25CA">
        <w:rPr>
          <w:i/>
          <w:sz w:val="24"/>
          <w:szCs w:val="24"/>
          <w:lang w:val="en-US"/>
        </w:rPr>
        <w:t>associated risk factors</w:t>
      </w:r>
      <w:r w:rsidR="00D36A8D" w:rsidRPr="005F25CA">
        <w:rPr>
          <w:i/>
          <w:sz w:val="24"/>
          <w:szCs w:val="24"/>
          <w:lang w:val="en-US"/>
        </w:rPr>
        <w:t>:</w:t>
      </w:r>
      <w:r w:rsidRPr="005F25CA">
        <w:rPr>
          <w:i/>
          <w:sz w:val="24"/>
          <w:szCs w:val="24"/>
          <w:lang w:val="en-US"/>
        </w:rPr>
        <w:t xml:space="preserve"> </w:t>
      </w:r>
      <w:r w:rsidRPr="005F25CA">
        <w:rPr>
          <w:sz w:val="24"/>
          <w:szCs w:val="24"/>
          <w:lang w:val="en-US"/>
        </w:rPr>
        <w:t xml:space="preserve">organic lesions liable to bleed or the concomitant use of medications affecting </w:t>
      </w:r>
      <w:r w:rsidR="005F25CA" w:rsidRPr="005F25CA">
        <w:rPr>
          <w:sz w:val="24"/>
          <w:szCs w:val="24"/>
          <w:lang w:val="en-US"/>
        </w:rPr>
        <w:t>hemostasis</w:t>
      </w:r>
      <w:r w:rsidRPr="005F25CA">
        <w:rPr>
          <w:sz w:val="24"/>
          <w:szCs w:val="24"/>
          <w:lang w:val="en-US"/>
        </w:rPr>
        <w:t xml:space="preserve"> (see Contraindications and Interaction with other medicinal products and other forms of interaction)</w:t>
      </w:r>
      <w:r w:rsidR="00D36A8D" w:rsidRPr="005F25CA">
        <w:rPr>
          <w:sz w:val="24"/>
          <w:szCs w:val="24"/>
          <w:lang w:val="en-US"/>
        </w:rPr>
        <w:t xml:space="preserve">, </w:t>
      </w:r>
      <w:r w:rsidRPr="005F25CA">
        <w:rPr>
          <w:sz w:val="24"/>
          <w:szCs w:val="24"/>
          <w:lang w:val="en-US"/>
        </w:rPr>
        <w:t>age, renal insufficiency, low body weight</w:t>
      </w:r>
      <w:r w:rsidR="00D36A8D" w:rsidRPr="005F25CA">
        <w:rPr>
          <w:sz w:val="24"/>
          <w:szCs w:val="24"/>
          <w:lang w:val="en-US"/>
        </w:rPr>
        <w:t>;</w:t>
      </w:r>
    </w:p>
    <w:p w:rsidR="00512251" w:rsidRPr="005F25CA" w:rsidRDefault="008C2907" w:rsidP="00622D20">
      <w:pPr>
        <w:pStyle w:val="4"/>
        <w:numPr>
          <w:ilvl w:val="0"/>
          <w:numId w:val="34"/>
        </w:numPr>
        <w:shd w:val="clear" w:color="auto" w:fill="auto"/>
        <w:spacing w:line="240" w:lineRule="auto"/>
        <w:jc w:val="both"/>
        <w:rPr>
          <w:sz w:val="24"/>
          <w:szCs w:val="24"/>
          <w:lang w:val="en-US"/>
        </w:rPr>
      </w:pPr>
      <w:r w:rsidRPr="005F25CA">
        <w:rPr>
          <w:rStyle w:val="TrebuchetMS75pt0pt"/>
          <w:rFonts w:ascii="Times New Roman" w:hAnsi="Times New Roman" w:cs="Times New Roman"/>
          <w:i/>
          <w:spacing w:val="0"/>
          <w:sz w:val="24"/>
          <w:szCs w:val="24"/>
          <w:lang w:val="en-US"/>
        </w:rPr>
        <w:t>non-compliance with therapeutic recommendations</w:t>
      </w:r>
      <w:r w:rsidRPr="005F25CA">
        <w:rPr>
          <w:rStyle w:val="TrebuchetMS75pt0pt"/>
          <w:rFonts w:ascii="Times New Roman" w:hAnsi="Times New Roman" w:cs="Times New Roman"/>
          <w:spacing w:val="0"/>
          <w:sz w:val="24"/>
          <w:szCs w:val="24"/>
          <w:lang w:val="en-US"/>
        </w:rPr>
        <w:t>, including those relating to the duration of treatment and dose adjustment according to the body weight (</w:t>
      </w:r>
      <w:r w:rsidRPr="005F25CA">
        <w:rPr>
          <w:sz w:val="24"/>
          <w:szCs w:val="24"/>
          <w:lang w:val="en-US"/>
        </w:rPr>
        <w:t>see Special warnings and precautions for use</w:t>
      </w:r>
      <w:r w:rsidR="00D36A8D" w:rsidRPr="005F25CA">
        <w:rPr>
          <w:sz w:val="24"/>
          <w:szCs w:val="24"/>
          <w:lang w:val="en-US"/>
        </w:rPr>
        <w:t>).</w:t>
      </w:r>
    </w:p>
    <w:p w:rsidR="00512251" w:rsidRPr="005F25CA" w:rsidRDefault="008C2907" w:rsidP="002701F5">
      <w:pPr>
        <w:pStyle w:val="4"/>
        <w:spacing w:line="240" w:lineRule="auto"/>
        <w:ind w:firstLine="0"/>
        <w:jc w:val="both"/>
        <w:rPr>
          <w:sz w:val="24"/>
          <w:szCs w:val="24"/>
          <w:lang w:val="en-US"/>
        </w:rPr>
      </w:pPr>
      <w:r w:rsidRPr="005F25CA">
        <w:rPr>
          <w:sz w:val="24"/>
          <w:szCs w:val="24"/>
          <w:lang w:val="en-US"/>
        </w:rPr>
        <w:t xml:space="preserve">There have been reports of spinal </w:t>
      </w:r>
      <w:r w:rsidR="005F25CA" w:rsidRPr="005F25CA">
        <w:rPr>
          <w:sz w:val="24"/>
          <w:szCs w:val="24"/>
          <w:lang w:val="en-US"/>
        </w:rPr>
        <w:t>hematomas</w:t>
      </w:r>
      <w:r w:rsidRPr="005F25CA">
        <w:rPr>
          <w:sz w:val="24"/>
          <w:szCs w:val="24"/>
          <w:lang w:val="en-US"/>
        </w:rPr>
        <w:t xml:space="preserve"> after administration of LMWH during spinal anesthesia, analgesia or epidural anesthesia</w:t>
      </w:r>
      <w:r w:rsidR="00D36A8D" w:rsidRPr="005F25CA">
        <w:rPr>
          <w:sz w:val="24"/>
          <w:szCs w:val="24"/>
          <w:lang w:val="en-US"/>
        </w:rPr>
        <w:t>.</w:t>
      </w:r>
    </w:p>
    <w:p w:rsidR="00512251" w:rsidRPr="005F25CA" w:rsidRDefault="008C2907" w:rsidP="002701F5">
      <w:pPr>
        <w:pStyle w:val="4"/>
        <w:spacing w:line="240" w:lineRule="auto"/>
        <w:ind w:firstLine="0"/>
        <w:jc w:val="both"/>
        <w:rPr>
          <w:sz w:val="24"/>
          <w:szCs w:val="24"/>
          <w:lang w:val="en-US"/>
        </w:rPr>
      </w:pPr>
      <w:r w:rsidRPr="005F25CA">
        <w:rPr>
          <w:sz w:val="24"/>
          <w:szCs w:val="24"/>
          <w:lang w:val="en-US"/>
        </w:rPr>
        <w:t>These reactions have resulted in varying degrees of neurologic injuries including long-term or permanent paralysis (see Special warnings and precautions for use</w:t>
      </w:r>
      <w:r w:rsidR="00D36A8D" w:rsidRPr="005F25CA">
        <w:rPr>
          <w:sz w:val="24"/>
          <w:szCs w:val="24"/>
          <w:lang w:val="en-US"/>
        </w:rPr>
        <w:t>).</w:t>
      </w:r>
    </w:p>
    <w:p w:rsidR="00512251" w:rsidRPr="005F25CA" w:rsidRDefault="00DD1B82" w:rsidP="002701F5">
      <w:pPr>
        <w:pStyle w:val="4"/>
        <w:shd w:val="clear" w:color="auto" w:fill="auto"/>
        <w:spacing w:line="240" w:lineRule="auto"/>
        <w:ind w:firstLine="0"/>
        <w:jc w:val="both"/>
        <w:rPr>
          <w:sz w:val="24"/>
          <w:szCs w:val="24"/>
          <w:lang w:val="en-US"/>
        </w:rPr>
      </w:pPr>
      <w:r w:rsidRPr="005F25CA">
        <w:rPr>
          <w:sz w:val="24"/>
          <w:szCs w:val="24"/>
          <w:lang w:val="en-US"/>
        </w:rPr>
        <w:t>After subcutaneous administration hematoma may appear at the site of injection. There have been reported cases of pain at the injection site, other reactions including irritation, swelling at the injection site, hypersensitivity, inflammation and the nodules. This risk increases if the recommended injection technique is not observed or improper means are used. Inflammatory injection site nodules resolve after a few days and should not cause treatment discontinuation.</w:t>
      </w:r>
    </w:p>
    <w:p w:rsidR="00512251" w:rsidRPr="005F25CA" w:rsidRDefault="00291A5D" w:rsidP="002701F5">
      <w:pPr>
        <w:pStyle w:val="4"/>
        <w:shd w:val="clear" w:color="auto" w:fill="auto"/>
        <w:spacing w:line="240" w:lineRule="auto"/>
        <w:ind w:firstLine="0"/>
        <w:jc w:val="both"/>
        <w:rPr>
          <w:sz w:val="24"/>
          <w:szCs w:val="24"/>
          <w:lang w:val="en-US"/>
        </w:rPr>
      </w:pPr>
      <w:r w:rsidRPr="005F25CA">
        <w:rPr>
          <w:sz w:val="24"/>
          <w:szCs w:val="24"/>
          <w:lang w:val="en-US"/>
        </w:rPr>
        <w:t>Thrombocytopenia was reported. There are two types of thrombocytopenia</w:t>
      </w:r>
      <w:r w:rsidR="00D36A8D" w:rsidRPr="005F25CA">
        <w:rPr>
          <w:sz w:val="24"/>
          <w:szCs w:val="24"/>
          <w:lang w:val="en-US"/>
        </w:rPr>
        <w:t>:</w:t>
      </w:r>
    </w:p>
    <w:p w:rsidR="00512251" w:rsidRPr="005F25CA" w:rsidRDefault="000E48DA" w:rsidP="00622D20">
      <w:pPr>
        <w:pStyle w:val="4"/>
        <w:numPr>
          <w:ilvl w:val="0"/>
          <w:numId w:val="37"/>
        </w:numPr>
        <w:shd w:val="clear" w:color="auto" w:fill="auto"/>
        <w:spacing w:line="240" w:lineRule="auto"/>
        <w:jc w:val="both"/>
        <w:rPr>
          <w:sz w:val="24"/>
          <w:szCs w:val="24"/>
          <w:lang w:val="en-US"/>
        </w:rPr>
      </w:pPr>
      <w:r w:rsidRPr="005F25CA">
        <w:rPr>
          <w:sz w:val="24"/>
          <w:szCs w:val="24"/>
          <w:lang w:val="en-US"/>
        </w:rPr>
        <w:lastRenderedPageBreak/>
        <w:t>Type I, the most common cases are usually moderate (platelet count over 100,000/mm</w:t>
      </w:r>
      <w:r w:rsidRPr="005F25CA">
        <w:rPr>
          <w:sz w:val="24"/>
          <w:szCs w:val="24"/>
          <w:vertAlign w:val="superscript"/>
          <w:lang w:val="en-US"/>
        </w:rPr>
        <w:t>3</w:t>
      </w:r>
      <w:r w:rsidRPr="005F25CA">
        <w:rPr>
          <w:sz w:val="24"/>
          <w:szCs w:val="24"/>
          <w:lang w:val="en-US"/>
        </w:rPr>
        <w:t>) and occur in the early stages (Day 5) and did not require discontinuation of treatment</w:t>
      </w:r>
      <w:r w:rsidR="00D36A8D" w:rsidRPr="005F25CA">
        <w:rPr>
          <w:sz w:val="24"/>
          <w:szCs w:val="24"/>
          <w:lang w:val="en-US"/>
        </w:rPr>
        <w:t>;</w:t>
      </w:r>
    </w:p>
    <w:p w:rsidR="000E48DA" w:rsidRPr="005F25CA" w:rsidRDefault="000E48DA" w:rsidP="00622D20">
      <w:pPr>
        <w:pStyle w:val="4"/>
        <w:numPr>
          <w:ilvl w:val="0"/>
          <w:numId w:val="37"/>
        </w:numPr>
        <w:spacing w:line="240" w:lineRule="auto"/>
        <w:jc w:val="both"/>
        <w:rPr>
          <w:sz w:val="24"/>
          <w:szCs w:val="24"/>
          <w:lang w:val="en-US"/>
        </w:rPr>
      </w:pPr>
      <w:r w:rsidRPr="005F25CA">
        <w:rPr>
          <w:sz w:val="24"/>
          <w:szCs w:val="24"/>
          <w:lang w:val="en-US"/>
        </w:rPr>
        <w:t xml:space="preserve">Type II, </w:t>
      </w:r>
      <w:r w:rsidR="0061442F" w:rsidRPr="005F25CA">
        <w:rPr>
          <w:sz w:val="24"/>
          <w:szCs w:val="24"/>
          <w:lang w:val="en-US"/>
        </w:rPr>
        <w:t>uncommon</w:t>
      </w:r>
      <w:r w:rsidRPr="005F25CA">
        <w:rPr>
          <w:sz w:val="24"/>
          <w:szCs w:val="24"/>
          <w:lang w:val="en-US"/>
        </w:rPr>
        <w:t xml:space="preserve"> cases of severe </w:t>
      </w:r>
      <w:proofErr w:type="spellStart"/>
      <w:r w:rsidRPr="005F25CA">
        <w:rPr>
          <w:sz w:val="24"/>
          <w:szCs w:val="24"/>
          <w:lang w:val="en-US"/>
        </w:rPr>
        <w:t>immunoallergic</w:t>
      </w:r>
      <w:proofErr w:type="spellEnd"/>
      <w:r w:rsidRPr="005F25CA">
        <w:rPr>
          <w:sz w:val="24"/>
          <w:szCs w:val="24"/>
          <w:lang w:val="en-US"/>
        </w:rPr>
        <w:t xml:space="preserve"> thrombocytopenia (heparin-induced thrombocytopenia (HIT) with thrombosis); in some cases thrombosis was complicated by myocardial ischemia of organs or limbs. Its frequency has been studied </w:t>
      </w:r>
      <w:r w:rsidR="005F25CA" w:rsidRPr="005F25CA">
        <w:rPr>
          <w:sz w:val="24"/>
          <w:szCs w:val="24"/>
          <w:lang w:val="en-US"/>
        </w:rPr>
        <w:t>insufficiently</w:t>
      </w:r>
      <w:r w:rsidRPr="005F25CA">
        <w:rPr>
          <w:sz w:val="24"/>
          <w:szCs w:val="24"/>
          <w:lang w:val="en-US"/>
        </w:rPr>
        <w:t xml:space="preserve"> (see Special warnings and precautions for use).</w:t>
      </w:r>
    </w:p>
    <w:p w:rsidR="00512251" w:rsidRPr="005F25CA" w:rsidRDefault="005C06BD" w:rsidP="00280CBA">
      <w:pPr>
        <w:pStyle w:val="4"/>
        <w:shd w:val="clear" w:color="auto" w:fill="auto"/>
        <w:spacing w:line="240" w:lineRule="auto"/>
        <w:ind w:firstLine="0"/>
        <w:jc w:val="both"/>
        <w:rPr>
          <w:sz w:val="24"/>
          <w:szCs w:val="24"/>
          <w:lang w:val="en-US"/>
        </w:rPr>
      </w:pPr>
      <w:r w:rsidRPr="005F25CA">
        <w:rPr>
          <w:sz w:val="24"/>
          <w:szCs w:val="24"/>
          <w:lang w:val="en-US"/>
        </w:rPr>
        <w:t>Asymptomatic and reversible increases in platelet counts have been reported.</w:t>
      </w:r>
    </w:p>
    <w:p w:rsidR="00512251" w:rsidRPr="005F25CA" w:rsidRDefault="000E48DA" w:rsidP="002701F5">
      <w:pPr>
        <w:pStyle w:val="4"/>
        <w:shd w:val="clear" w:color="auto" w:fill="auto"/>
        <w:spacing w:line="240" w:lineRule="auto"/>
        <w:ind w:firstLine="0"/>
        <w:jc w:val="both"/>
        <w:rPr>
          <w:sz w:val="24"/>
          <w:szCs w:val="24"/>
          <w:lang w:val="en-US"/>
        </w:rPr>
      </w:pPr>
      <w:r w:rsidRPr="005F25CA">
        <w:rPr>
          <w:sz w:val="24"/>
          <w:szCs w:val="24"/>
          <w:lang w:val="en-US"/>
        </w:rPr>
        <w:t xml:space="preserve">Skin necrosis has been reported when </w:t>
      </w:r>
      <w:r w:rsidR="005F25CA" w:rsidRPr="005F25CA">
        <w:rPr>
          <w:sz w:val="24"/>
          <w:szCs w:val="24"/>
          <w:lang w:val="en-US"/>
        </w:rPr>
        <w:t>heparins</w:t>
      </w:r>
      <w:r w:rsidRPr="005F25CA">
        <w:rPr>
          <w:sz w:val="24"/>
          <w:szCs w:val="24"/>
          <w:lang w:val="en-US"/>
        </w:rPr>
        <w:t xml:space="preserve"> were used.</w:t>
      </w:r>
      <w:r w:rsidR="00280CBA" w:rsidRPr="005F25CA">
        <w:rPr>
          <w:sz w:val="24"/>
          <w:szCs w:val="24"/>
          <w:lang w:val="en-US"/>
        </w:rPr>
        <w:t xml:space="preserve"> It </w:t>
      </w:r>
      <w:r w:rsidRPr="005F25CA">
        <w:rPr>
          <w:sz w:val="24"/>
          <w:szCs w:val="24"/>
          <w:lang w:val="en-US"/>
        </w:rPr>
        <w:t>ha</w:t>
      </w:r>
      <w:r w:rsidR="00280CBA" w:rsidRPr="005F25CA">
        <w:rPr>
          <w:sz w:val="24"/>
          <w:szCs w:val="24"/>
          <w:lang w:val="en-US"/>
        </w:rPr>
        <w:t>s</w:t>
      </w:r>
      <w:r w:rsidRPr="005F25CA">
        <w:rPr>
          <w:sz w:val="24"/>
          <w:szCs w:val="24"/>
          <w:lang w:val="en-US"/>
        </w:rPr>
        <w:t xml:space="preserve"> been usually preceded by </w:t>
      </w:r>
      <w:proofErr w:type="spellStart"/>
      <w:r w:rsidRPr="005F25CA">
        <w:rPr>
          <w:sz w:val="24"/>
          <w:szCs w:val="24"/>
          <w:lang w:val="en-US"/>
        </w:rPr>
        <w:t>purpura</w:t>
      </w:r>
      <w:proofErr w:type="spellEnd"/>
      <w:r w:rsidRPr="005F25CA">
        <w:rPr>
          <w:sz w:val="24"/>
          <w:szCs w:val="24"/>
          <w:lang w:val="en-US"/>
        </w:rPr>
        <w:t xml:space="preserve"> or erythematous plaques, infiltrated and painful. Treatment must be discontinued in these cases</w:t>
      </w:r>
      <w:r w:rsidR="00D36A8D" w:rsidRPr="005F25CA">
        <w:rPr>
          <w:sz w:val="24"/>
          <w:szCs w:val="24"/>
          <w:lang w:val="en-US"/>
        </w:rPr>
        <w:t>.</w:t>
      </w:r>
    </w:p>
    <w:p w:rsidR="00512251" w:rsidRPr="005F25CA" w:rsidRDefault="00050C5F" w:rsidP="002701F5">
      <w:pPr>
        <w:pStyle w:val="4"/>
        <w:spacing w:line="240" w:lineRule="auto"/>
        <w:ind w:firstLine="0"/>
        <w:jc w:val="both"/>
        <w:rPr>
          <w:sz w:val="24"/>
          <w:szCs w:val="24"/>
          <w:lang w:val="en-US"/>
        </w:rPr>
      </w:pPr>
      <w:r w:rsidRPr="005F25CA">
        <w:rPr>
          <w:sz w:val="24"/>
          <w:szCs w:val="24"/>
          <w:lang w:val="en-US"/>
        </w:rPr>
        <w:t xml:space="preserve">Systemic </w:t>
      </w:r>
      <w:r w:rsidRPr="005F25CA">
        <w:rPr>
          <w:sz w:val="24"/>
          <w:szCs w:val="24"/>
          <w:u w:val="single"/>
          <w:lang w:val="en-US"/>
        </w:rPr>
        <w:t>allergic reactions</w:t>
      </w:r>
      <w:r w:rsidRPr="005F25CA">
        <w:rPr>
          <w:sz w:val="24"/>
          <w:szCs w:val="24"/>
          <w:lang w:val="en-US"/>
        </w:rPr>
        <w:t>, including anaphylactoid-like reactions and skin reactions (urticaria, pruritus, erythema, bullous rash) may occur. In some cases discontinuation of therapy may be necessary</w:t>
      </w:r>
      <w:r w:rsidR="00D36A8D" w:rsidRPr="005F25CA">
        <w:rPr>
          <w:sz w:val="24"/>
          <w:szCs w:val="24"/>
          <w:lang w:val="en-US"/>
        </w:rPr>
        <w:t>.</w:t>
      </w:r>
    </w:p>
    <w:p w:rsidR="00A479AC" w:rsidRPr="005F25CA" w:rsidRDefault="00A479AC" w:rsidP="002701F5">
      <w:pPr>
        <w:pStyle w:val="4"/>
        <w:spacing w:line="240" w:lineRule="auto"/>
        <w:ind w:firstLine="0"/>
        <w:jc w:val="both"/>
        <w:rPr>
          <w:sz w:val="24"/>
          <w:szCs w:val="24"/>
          <w:lang w:val="en-US"/>
        </w:rPr>
      </w:pPr>
      <w:r w:rsidRPr="005F25CA">
        <w:rPr>
          <w:sz w:val="24"/>
          <w:szCs w:val="24"/>
          <w:lang w:val="en-US"/>
        </w:rPr>
        <w:t>As with unfractionated heparins, the risk of osteoporosis cannot be excluded in long term treatment.</w:t>
      </w:r>
    </w:p>
    <w:p w:rsidR="00512251" w:rsidRPr="005F25CA" w:rsidRDefault="00A479AC" w:rsidP="002701F5">
      <w:pPr>
        <w:pStyle w:val="4"/>
        <w:spacing w:line="240" w:lineRule="auto"/>
        <w:ind w:firstLine="0"/>
        <w:jc w:val="both"/>
        <w:rPr>
          <w:sz w:val="24"/>
          <w:szCs w:val="24"/>
          <w:lang w:val="en-US"/>
        </w:rPr>
      </w:pPr>
      <w:r w:rsidRPr="005F25CA">
        <w:rPr>
          <w:sz w:val="24"/>
          <w:szCs w:val="24"/>
          <w:lang w:val="en-US"/>
        </w:rPr>
        <w:t xml:space="preserve">Unfractionated heparin products can cause </w:t>
      </w:r>
      <w:proofErr w:type="spellStart"/>
      <w:r w:rsidRPr="005F25CA">
        <w:rPr>
          <w:sz w:val="24"/>
          <w:szCs w:val="24"/>
          <w:lang w:val="en-US"/>
        </w:rPr>
        <w:t>hypoaldosteronism</w:t>
      </w:r>
      <w:proofErr w:type="spellEnd"/>
      <w:r w:rsidRPr="005F25CA">
        <w:rPr>
          <w:sz w:val="24"/>
          <w:szCs w:val="24"/>
          <w:lang w:val="en-US"/>
        </w:rPr>
        <w:t xml:space="preserve"> which may result in an increase in plasma potassium. Clinically significant </w:t>
      </w:r>
      <w:r w:rsidR="005F25CA" w:rsidRPr="005F25CA">
        <w:rPr>
          <w:sz w:val="24"/>
          <w:szCs w:val="24"/>
          <w:lang w:val="en-US"/>
        </w:rPr>
        <w:t>hyperkalemia</w:t>
      </w:r>
      <w:r w:rsidRPr="005F25CA">
        <w:rPr>
          <w:sz w:val="24"/>
          <w:szCs w:val="24"/>
          <w:lang w:val="en-US"/>
        </w:rPr>
        <w:t xml:space="preserve"> may occur particularly in patients with chronic renal failure and diabetes mellitus</w:t>
      </w:r>
      <w:r w:rsidR="00D36A8D" w:rsidRPr="005F25CA">
        <w:rPr>
          <w:sz w:val="24"/>
          <w:szCs w:val="24"/>
          <w:lang w:val="en-US"/>
        </w:rPr>
        <w:t>.</w:t>
      </w:r>
    </w:p>
    <w:p w:rsidR="00512251" w:rsidRPr="005F25CA" w:rsidRDefault="005C06BD" w:rsidP="002701F5">
      <w:pPr>
        <w:pStyle w:val="4"/>
        <w:shd w:val="clear" w:color="auto" w:fill="auto"/>
        <w:spacing w:line="240" w:lineRule="auto"/>
        <w:ind w:firstLine="0"/>
        <w:jc w:val="both"/>
        <w:rPr>
          <w:sz w:val="24"/>
          <w:szCs w:val="24"/>
          <w:lang w:val="en-US"/>
        </w:rPr>
      </w:pPr>
      <w:r w:rsidRPr="005F25CA">
        <w:rPr>
          <w:sz w:val="24"/>
          <w:szCs w:val="24"/>
          <w:lang w:val="en-US"/>
        </w:rPr>
        <w:t>Transient transaminase elevations have been observed</w:t>
      </w:r>
      <w:r w:rsidR="00D36A8D" w:rsidRPr="005F25CA">
        <w:rPr>
          <w:sz w:val="24"/>
          <w:szCs w:val="24"/>
          <w:lang w:val="en-US"/>
        </w:rPr>
        <w:t>.</w:t>
      </w:r>
    </w:p>
    <w:p w:rsidR="00512251" w:rsidRPr="005F25CA" w:rsidRDefault="005C06BD" w:rsidP="002701F5">
      <w:pPr>
        <w:pStyle w:val="4"/>
        <w:shd w:val="clear" w:color="auto" w:fill="auto"/>
        <w:spacing w:line="240" w:lineRule="auto"/>
        <w:ind w:firstLine="0"/>
        <w:jc w:val="both"/>
        <w:rPr>
          <w:sz w:val="24"/>
          <w:szCs w:val="24"/>
          <w:lang w:val="en-US"/>
        </w:rPr>
      </w:pPr>
      <w:r w:rsidRPr="005F25CA">
        <w:rPr>
          <w:sz w:val="24"/>
          <w:szCs w:val="24"/>
          <w:lang w:val="en-US"/>
        </w:rPr>
        <w:t>Rare cases of hyperkalemia have been reported</w:t>
      </w:r>
      <w:r w:rsidR="00D36A8D" w:rsidRPr="005F25CA">
        <w:rPr>
          <w:sz w:val="24"/>
          <w:szCs w:val="24"/>
          <w:lang w:val="en-US"/>
        </w:rPr>
        <w:t>.</w:t>
      </w:r>
    </w:p>
    <w:p w:rsidR="00512251" w:rsidRPr="005F25CA" w:rsidRDefault="005C06BD" w:rsidP="002701F5">
      <w:pPr>
        <w:pStyle w:val="4"/>
        <w:shd w:val="clear" w:color="auto" w:fill="auto"/>
        <w:spacing w:line="240" w:lineRule="auto"/>
        <w:ind w:firstLine="0"/>
        <w:jc w:val="both"/>
        <w:rPr>
          <w:sz w:val="24"/>
          <w:szCs w:val="24"/>
          <w:lang w:val="en-US"/>
        </w:rPr>
      </w:pPr>
      <w:r w:rsidRPr="005F25CA">
        <w:rPr>
          <w:sz w:val="24"/>
          <w:szCs w:val="24"/>
          <w:lang w:val="en-US"/>
        </w:rPr>
        <w:t xml:space="preserve">Hypersensitivity cutaneous </w:t>
      </w:r>
      <w:proofErr w:type="spellStart"/>
      <w:r w:rsidRPr="005F25CA">
        <w:rPr>
          <w:sz w:val="24"/>
          <w:szCs w:val="24"/>
          <w:lang w:val="en-US"/>
        </w:rPr>
        <w:t>vasculitis</w:t>
      </w:r>
      <w:proofErr w:type="spellEnd"/>
      <w:r w:rsidRPr="005F25CA">
        <w:rPr>
          <w:sz w:val="24"/>
          <w:szCs w:val="24"/>
          <w:lang w:val="en-US"/>
        </w:rPr>
        <w:t xml:space="preserve"> has been observed</w:t>
      </w:r>
      <w:r w:rsidR="00D36A8D" w:rsidRPr="005F25CA">
        <w:rPr>
          <w:sz w:val="24"/>
          <w:szCs w:val="24"/>
          <w:lang w:val="en-US"/>
        </w:rPr>
        <w:t>.</w:t>
      </w:r>
    </w:p>
    <w:p w:rsidR="00512251" w:rsidRPr="005F25CA" w:rsidRDefault="00231997" w:rsidP="002701F5">
      <w:pPr>
        <w:pStyle w:val="4"/>
        <w:shd w:val="clear" w:color="auto" w:fill="auto"/>
        <w:spacing w:line="240" w:lineRule="auto"/>
        <w:ind w:firstLine="0"/>
        <w:jc w:val="both"/>
        <w:rPr>
          <w:sz w:val="24"/>
          <w:szCs w:val="24"/>
          <w:lang w:val="en-US"/>
        </w:rPr>
      </w:pPr>
      <w:proofErr w:type="spellStart"/>
      <w:r w:rsidRPr="005F25CA">
        <w:rPr>
          <w:sz w:val="24"/>
          <w:szCs w:val="24"/>
          <w:lang w:val="en-US"/>
        </w:rPr>
        <w:t>Hypereosinophilia</w:t>
      </w:r>
      <w:proofErr w:type="spellEnd"/>
      <w:r w:rsidRPr="005F25CA">
        <w:rPr>
          <w:sz w:val="24"/>
          <w:szCs w:val="24"/>
          <w:lang w:val="en-US"/>
        </w:rPr>
        <w:t xml:space="preserve"> has been observed alone or with skin reactions which resulted in discontinuation of the treatment</w:t>
      </w:r>
      <w:r w:rsidR="00D36A8D" w:rsidRPr="005F25CA">
        <w:rPr>
          <w:sz w:val="24"/>
          <w:szCs w:val="24"/>
          <w:lang w:val="en-US"/>
        </w:rPr>
        <w:t>.</w:t>
      </w:r>
    </w:p>
    <w:p w:rsidR="004A5A61" w:rsidRPr="005F25CA" w:rsidRDefault="004A5A61" w:rsidP="002701F5">
      <w:pPr>
        <w:pStyle w:val="30"/>
        <w:shd w:val="clear" w:color="auto" w:fill="auto"/>
        <w:spacing w:before="0" w:line="240" w:lineRule="auto"/>
        <w:jc w:val="both"/>
        <w:rPr>
          <w:sz w:val="24"/>
          <w:szCs w:val="24"/>
          <w:lang w:val="en-US"/>
        </w:rPr>
      </w:pPr>
    </w:p>
    <w:p w:rsidR="009D0CCA" w:rsidRDefault="00231997" w:rsidP="002701F5">
      <w:pPr>
        <w:pStyle w:val="30"/>
        <w:shd w:val="clear" w:color="auto" w:fill="auto"/>
        <w:spacing w:before="0" w:line="240" w:lineRule="auto"/>
        <w:jc w:val="both"/>
        <w:rPr>
          <w:sz w:val="24"/>
          <w:szCs w:val="24"/>
          <w:lang w:val="en-US"/>
        </w:rPr>
      </w:pPr>
      <w:r w:rsidRPr="005F25CA">
        <w:rPr>
          <w:sz w:val="24"/>
          <w:szCs w:val="24"/>
          <w:lang w:val="en-US"/>
        </w:rPr>
        <w:t>Shelf</w:t>
      </w:r>
      <w:r w:rsidR="004A5A61" w:rsidRPr="005F25CA">
        <w:rPr>
          <w:sz w:val="24"/>
          <w:szCs w:val="24"/>
          <w:lang w:val="en-US"/>
        </w:rPr>
        <w:t xml:space="preserve"> </w:t>
      </w:r>
      <w:r w:rsidRPr="005F25CA">
        <w:rPr>
          <w:sz w:val="24"/>
          <w:szCs w:val="24"/>
          <w:lang w:val="en-US"/>
        </w:rPr>
        <w:t>life</w:t>
      </w:r>
    </w:p>
    <w:p w:rsidR="00512251" w:rsidRPr="005F25CA" w:rsidRDefault="00D36A8D" w:rsidP="002701F5">
      <w:pPr>
        <w:pStyle w:val="30"/>
        <w:shd w:val="clear" w:color="auto" w:fill="auto"/>
        <w:spacing w:before="0" w:line="240" w:lineRule="auto"/>
        <w:jc w:val="both"/>
        <w:rPr>
          <w:sz w:val="24"/>
          <w:szCs w:val="24"/>
          <w:lang w:val="en-US"/>
        </w:rPr>
      </w:pPr>
      <w:r w:rsidRPr="005F25CA">
        <w:rPr>
          <w:rStyle w:val="31"/>
          <w:sz w:val="24"/>
          <w:szCs w:val="24"/>
          <w:lang w:val="en-US"/>
        </w:rPr>
        <w:t xml:space="preserve">2 </w:t>
      </w:r>
      <w:r w:rsidR="00231997" w:rsidRPr="005F25CA">
        <w:rPr>
          <w:rStyle w:val="31"/>
          <w:sz w:val="24"/>
          <w:szCs w:val="24"/>
          <w:lang w:val="en-US"/>
        </w:rPr>
        <w:t>years</w:t>
      </w:r>
      <w:r w:rsidRPr="005F25CA">
        <w:rPr>
          <w:rStyle w:val="31"/>
          <w:sz w:val="24"/>
          <w:szCs w:val="24"/>
          <w:lang w:val="en-US"/>
        </w:rPr>
        <w:t>.</w:t>
      </w:r>
    </w:p>
    <w:p w:rsidR="00231997" w:rsidRPr="005F25CA" w:rsidRDefault="00231997" w:rsidP="002701F5">
      <w:pPr>
        <w:pStyle w:val="4"/>
        <w:shd w:val="clear" w:color="auto" w:fill="auto"/>
        <w:spacing w:line="240" w:lineRule="auto"/>
        <w:ind w:firstLine="0"/>
        <w:rPr>
          <w:sz w:val="24"/>
          <w:szCs w:val="24"/>
          <w:lang w:val="en-US"/>
        </w:rPr>
      </w:pPr>
      <w:r w:rsidRPr="005F25CA">
        <w:rPr>
          <w:sz w:val="24"/>
          <w:szCs w:val="24"/>
          <w:lang w:val="en-US"/>
        </w:rPr>
        <w:t>Do no use the drug after the expiry</w:t>
      </w:r>
      <w:r w:rsidR="0082147C">
        <w:rPr>
          <w:sz w:val="24"/>
          <w:szCs w:val="24"/>
        </w:rPr>
        <w:t xml:space="preserve"> </w:t>
      </w:r>
      <w:r w:rsidRPr="005F25CA">
        <w:rPr>
          <w:sz w:val="24"/>
          <w:szCs w:val="24"/>
          <w:lang w:val="en-US"/>
        </w:rPr>
        <w:t>date</w:t>
      </w:r>
      <w:r w:rsidR="0082147C">
        <w:rPr>
          <w:sz w:val="24"/>
          <w:szCs w:val="24"/>
        </w:rPr>
        <w:t xml:space="preserve"> </w:t>
      </w:r>
      <w:r w:rsidR="0082147C">
        <w:rPr>
          <w:sz w:val="24"/>
          <w:szCs w:val="24"/>
          <w:lang w:val="en-US"/>
        </w:rPr>
        <w:t xml:space="preserve">stated </w:t>
      </w:r>
      <w:r w:rsidRPr="005F25CA">
        <w:rPr>
          <w:sz w:val="24"/>
          <w:szCs w:val="24"/>
          <w:lang w:val="en-US"/>
        </w:rPr>
        <w:t>on the package</w:t>
      </w:r>
      <w:r w:rsidR="00D36A8D" w:rsidRPr="005F25CA">
        <w:rPr>
          <w:sz w:val="24"/>
          <w:szCs w:val="24"/>
          <w:lang w:val="en-US"/>
        </w:rPr>
        <w:t xml:space="preserve">. </w:t>
      </w:r>
    </w:p>
    <w:p w:rsidR="004A5A61" w:rsidRPr="005F25CA" w:rsidRDefault="004A5A61" w:rsidP="002701F5">
      <w:pPr>
        <w:pStyle w:val="4"/>
        <w:shd w:val="clear" w:color="auto" w:fill="auto"/>
        <w:spacing w:line="240" w:lineRule="auto"/>
        <w:ind w:firstLine="0"/>
        <w:rPr>
          <w:rStyle w:val="a8"/>
          <w:sz w:val="24"/>
          <w:szCs w:val="24"/>
          <w:lang w:val="en-US"/>
        </w:rPr>
      </w:pPr>
    </w:p>
    <w:p w:rsidR="00512251" w:rsidRPr="005F25CA" w:rsidRDefault="00231997" w:rsidP="002701F5">
      <w:pPr>
        <w:pStyle w:val="4"/>
        <w:shd w:val="clear" w:color="auto" w:fill="auto"/>
        <w:spacing w:line="240" w:lineRule="auto"/>
        <w:ind w:firstLine="0"/>
        <w:rPr>
          <w:sz w:val="24"/>
          <w:szCs w:val="24"/>
          <w:lang w:val="en-US"/>
        </w:rPr>
      </w:pPr>
      <w:r w:rsidRPr="005F25CA">
        <w:rPr>
          <w:rStyle w:val="a8"/>
          <w:sz w:val="24"/>
          <w:szCs w:val="24"/>
          <w:lang w:val="en-US"/>
        </w:rPr>
        <w:t>Storage</w:t>
      </w:r>
    </w:p>
    <w:p w:rsidR="00512251" w:rsidRPr="005F25CA" w:rsidRDefault="004A5A61" w:rsidP="002701F5">
      <w:pPr>
        <w:pStyle w:val="4"/>
        <w:shd w:val="clear" w:color="auto" w:fill="auto"/>
        <w:spacing w:line="240" w:lineRule="auto"/>
        <w:ind w:firstLine="0"/>
        <w:jc w:val="both"/>
        <w:rPr>
          <w:sz w:val="24"/>
          <w:szCs w:val="24"/>
          <w:lang w:val="en-US"/>
        </w:rPr>
      </w:pPr>
      <w:proofErr w:type="gramStart"/>
      <w:r w:rsidRPr="005F25CA">
        <w:rPr>
          <w:sz w:val="24"/>
          <w:szCs w:val="24"/>
          <w:lang w:val="en-US"/>
        </w:rPr>
        <w:t>Store in the original packag</w:t>
      </w:r>
      <w:r w:rsidR="0030480A">
        <w:rPr>
          <w:sz w:val="24"/>
          <w:szCs w:val="24"/>
          <w:lang w:val="en-US"/>
        </w:rPr>
        <w:t>e</w:t>
      </w:r>
      <w:r w:rsidR="00B138A3">
        <w:rPr>
          <w:sz w:val="24"/>
          <w:szCs w:val="24"/>
          <w:lang w:val="en-US"/>
        </w:rPr>
        <w:t>.</w:t>
      </w:r>
      <w:proofErr w:type="gramEnd"/>
      <w:r w:rsidR="00B138A3">
        <w:rPr>
          <w:sz w:val="24"/>
          <w:szCs w:val="24"/>
          <w:lang w:val="en-US"/>
        </w:rPr>
        <w:t xml:space="preserve"> Store</w:t>
      </w:r>
      <w:r w:rsidR="0082147C">
        <w:rPr>
          <w:sz w:val="24"/>
          <w:szCs w:val="24"/>
          <w:lang w:val="en-US"/>
        </w:rPr>
        <w:t xml:space="preserve"> below</w:t>
      </w:r>
      <w:r w:rsidR="00D36A8D" w:rsidRPr="005F25CA">
        <w:rPr>
          <w:sz w:val="24"/>
          <w:szCs w:val="24"/>
          <w:lang w:val="en-US"/>
        </w:rPr>
        <w:t xml:space="preserve"> 25 °С. </w:t>
      </w:r>
      <w:r w:rsidR="00231997" w:rsidRPr="005F25CA">
        <w:rPr>
          <w:sz w:val="24"/>
          <w:szCs w:val="24"/>
          <w:lang w:val="en-US"/>
        </w:rPr>
        <w:t>Do not fr</w:t>
      </w:r>
      <w:r w:rsidR="00BA1D19" w:rsidRPr="005F25CA">
        <w:rPr>
          <w:sz w:val="24"/>
          <w:szCs w:val="24"/>
          <w:lang w:val="en-US"/>
        </w:rPr>
        <w:t>ee</w:t>
      </w:r>
      <w:r w:rsidR="00231997" w:rsidRPr="005F25CA">
        <w:rPr>
          <w:sz w:val="24"/>
          <w:szCs w:val="24"/>
          <w:lang w:val="en-US"/>
        </w:rPr>
        <w:t>ze</w:t>
      </w:r>
      <w:r w:rsidR="00D36A8D" w:rsidRPr="005F25CA">
        <w:rPr>
          <w:sz w:val="24"/>
          <w:szCs w:val="24"/>
          <w:lang w:val="en-US"/>
        </w:rPr>
        <w:t>.</w:t>
      </w:r>
    </w:p>
    <w:p w:rsidR="00512251" w:rsidRPr="005F25CA" w:rsidRDefault="00231997" w:rsidP="002701F5">
      <w:pPr>
        <w:pStyle w:val="4"/>
        <w:shd w:val="clear" w:color="auto" w:fill="auto"/>
        <w:spacing w:line="240" w:lineRule="auto"/>
        <w:ind w:firstLine="0"/>
        <w:jc w:val="both"/>
        <w:rPr>
          <w:sz w:val="24"/>
          <w:szCs w:val="24"/>
          <w:lang w:val="en-US"/>
        </w:rPr>
      </w:pPr>
      <w:r w:rsidRPr="005F25CA">
        <w:rPr>
          <w:sz w:val="24"/>
          <w:szCs w:val="24"/>
          <w:lang w:val="en-US"/>
        </w:rPr>
        <w:t>Keep</w:t>
      </w:r>
      <w:r w:rsidR="00BA1D19" w:rsidRPr="005F25CA">
        <w:rPr>
          <w:sz w:val="24"/>
          <w:szCs w:val="24"/>
          <w:lang w:val="en-US"/>
        </w:rPr>
        <w:t xml:space="preserve"> out</w:t>
      </w:r>
      <w:r w:rsidRPr="005F25CA">
        <w:rPr>
          <w:sz w:val="24"/>
          <w:szCs w:val="24"/>
          <w:lang w:val="en-US"/>
        </w:rPr>
        <w:t xml:space="preserve"> of reach of children</w:t>
      </w:r>
      <w:r w:rsidR="00D36A8D" w:rsidRPr="005F25CA">
        <w:rPr>
          <w:sz w:val="24"/>
          <w:szCs w:val="24"/>
          <w:lang w:val="en-US"/>
        </w:rPr>
        <w:t>.</w:t>
      </w:r>
    </w:p>
    <w:p w:rsidR="004A5A61" w:rsidRPr="005F25CA" w:rsidRDefault="004A5A61" w:rsidP="002701F5">
      <w:pPr>
        <w:pStyle w:val="4"/>
        <w:shd w:val="clear" w:color="auto" w:fill="auto"/>
        <w:spacing w:line="240" w:lineRule="auto"/>
        <w:ind w:firstLine="0"/>
        <w:jc w:val="both"/>
        <w:rPr>
          <w:rStyle w:val="aa"/>
          <w:sz w:val="24"/>
          <w:szCs w:val="24"/>
          <w:lang w:val="en-US"/>
        </w:rPr>
      </w:pPr>
      <w:bookmarkStart w:id="5" w:name="_GoBack"/>
      <w:bookmarkEnd w:id="5"/>
    </w:p>
    <w:p w:rsidR="009D0CCA" w:rsidRDefault="00BA1D19" w:rsidP="002701F5">
      <w:pPr>
        <w:pStyle w:val="4"/>
        <w:shd w:val="clear" w:color="auto" w:fill="auto"/>
        <w:spacing w:line="240" w:lineRule="auto"/>
        <w:ind w:firstLine="0"/>
        <w:jc w:val="both"/>
        <w:rPr>
          <w:rStyle w:val="aa"/>
          <w:sz w:val="24"/>
          <w:szCs w:val="24"/>
          <w:lang w:val="en-US"/>
        </w:rPr>
      </w:pPr>
      <w:r w:rsidRPr="005F25CA">
        <w:rPr>
          <w:rStyle w:val="aa"/>
          <w:sz w:val="24"/>
          <w:szCs w:val="24"/>
          <w:lang w:val="en-US"/>
        </w:rPr>
        <w:t>Incompatibilities</w:t>
      </w:r>
    </w:p>
    <w:p w:rsidR="00512251" w:rsidRPr="005F25CA" w:rsidRDefault="00526C52" w:rsidP="002701F5">
      <w:pPr>
        <w:pStyle w:val="4"/>
        <w:shd w:val="clear" w:color="auto" w:fill="auto"/>
        <w:spacing w:line="240" w:lineRule="auto"/>
        <w:ind w:firstLine="0"/>
        <w:jc w:val="both"/>
        <w:rPr>
          <w:sz w:val="24"/>
          <w:szCs w:val="24"/>
          <w:lang w:val="en-US"/>
        </w:rPr>
      </w:pPr>
      <w:r w:rsidRPr="005F25CA">
        <w:rPr>
          <w:sz w:val="24"/>
          <w:szCs w:val="24"/>
          <w:lang w:val="en-US"/>
        </w:rPr>
        <w:t xml:space="preserve">Do not </w:t>
      </w:r>
      <w:r w:rsidR="005F25CA" w:rsidRPr="005F25CA">
        <w:rPr>
          <w:sz w:val="24"/>
          <w:szCs w:val="24"/>
          <w:lang w:val="en-US"/>
        </w:rPr>
        <w:t>mix</w:t>
      </w:r>
      <w:r w:rsidRPr="005F25CA">
        <w:rPr>
          <w:sz w:val="24"/>
          <w:szCs w:val="24"/>
          <w:lang w:val="en-US"/>
        </w:rPr>
        <w:t xml:space="preserve"> with any other drugs</w:t>
      </w:r>
      <w:r w:rsidR="00D36A8D" w:rsidRPr="005F25CA">
        <w:rPr>
          <w:sz w:val="24"/>
          <w:szCs w:val="24"/>
          <w:lang w:val="en-US"/>
        </w:rPr>
        <w:t>.</w:t>
      </w:r>
    </w:p>
    <w:p w:rsidR="004A5A61" w:rsidRPr="005F25CA" w:rsidRDefault="004A5A61" w:rsidP="002701F5">
      <w:pPr>
        <w:pStyle w:val="4"/>
        <w:shd w:val="clear" w:color="auto" w:fill="auto"/>
        <w:spacing w:line="240" w:lineRule="auto"/>
        <w:ind w:firstLine="0"/>
        <w:jc w:val="both"/>
        <w:rPr>
          <w:rStyle w:val="a8"/>
          <w:sz w:val="24"/>
          <w:szCs w:val="24"/>
          <w:lang w:val="en-US"/>
        </w:rPr>
      </w:pPr>
    </w:p>
    <w:p w:rsidR="009D0CCA" w:rsidRDefault="00526C52" w:rsidP="002701F5">
      <w:pPr>
        <w:pStyle w:val="4"/>
        <w:shd w:val="clear" w:color="auto" w:fill="auto"/>
        <w:spacing w:line="240" w:lineRule="auto"/>
        <w:ind w:firstLine="0"/>
        <w:jc w:val="both"/>
        <w:rPr>
          <w:rStyle w:val="a8"/>
          <w:sz w:val="24"/>
          <w:szCs w:val="24"/>
          <w:lang w:val="en-US"/>
        </w:rPr>
      </w:pPr>
      <w:r w:rsidRPr="005F25CA">
        <w:rPr>
          <w:rStyle w:val="a8"/>
          <w:sz w:val="24"/>
          <w:szCs w:val="24"/>
          <w:lang w:val="en-US"/>
        </w:rPr>
        <w:t>Nature and contents of packaging</w:t>
      </w:r>
    </w:p>
    <w:p w:rsidR="00512251" w:rsidRPr="005F25CA" w:rsidRDefault="00D36A8D" w:rsidP="002701F5">
      <w:pPr>
        <w:pStyle w:val="4"/>
        <w:shd w:val="clear" w:color="auto" w:fill="auto"/>
        <w:spacing w:line="240" w:lineRule="auto"/>
        <w:ind w:firstLine="0"/>
        <w:jc w:val="both"/>
        <w:rPr>
          <w:sz w:val="24"/>
          <w:szCs w:val="24"/>
          <w:lang w:val="en-US"/>
        </w:rPr>
      </w:pPr>
      <w:proofErr w:type="gramStart"/>
      <w:r w:rsidRPr="005F25CA">
        <w:rPr>
          <w:sz w:val="24"/>
          <w:szCs w:val="24"/>
          <w:lang w:val="en-US"/>
        </w:rPr>
        <w:t>0</w:t>
      </w:r>
      <w:r w:rsidR="00526C52" w:rsidRPr="005F25CA">
        <w:rPr>
          <w:sz w:val="24"/>
          <w:szCs w:val="24"/>
          <w:lang w:val="en-US"/>
        </w:rPr>
        <w:t>.</w:t>
      </w:r>
      <w:r w:rsidRPr="005F25CA">
        <w:rPr>
          <w:sz w:val="24"/>
          <w:szCs w:val="24"/>
          <w:lang w:val="en-US"/>
        </w:rPr>
        <w:t xml:space="preserve">2 </w:t>
      </w:r>
      <w:r w:rsidR="00D027D1" w:rsidRPr="005F25CA">
        <w:rPr>
          <w:sz w:val="24"/>
          <w:szCs w:val="24"/>
          <w:lang w:val="en-US"/>
        </w:rPr>
        <w:t>mL</w:t>
      </w:r>
      <w:r w:rsidRPr="005F25CA">
        <w:rPr>
          <w:sz w:val="24"/>
          <w:szCs w:val="24"/>
          <w:lang w:val="en-US"/>
        </w:rPr>
        <w:t>, 0</w:t>
      </w:r>
      <w:r w:rsidR="00526C52" w:rsidRPr="005F25CA">
        <w:rPr>
          <w:sz w:val="24"/>
          <w:szCs w:val="24"/>
          <w:lang w:val="en-US"/>
        </w:rPr>
        <w:t>.</w:t>
      </w:r>
      <w:r w:rsidRPr="005F25CA">
        <w:rPr>
          <w:sz w:val="24"/>
          <w:szCs w:val="24"/>
          <w:lang w:val="en-US"/>
        </w:rPr>
        <w:t xml:space="preserve">4 </w:t>
      </w:r>
      <w:r w:rsidR="00D027D1" w:rsidRPr="005F25CA">
        <w:rPr>
          <w:sz w:val="24"/>
          <w:szCs w:val="24"/>
          <w:lang w:val="en-US"/>
        </w:rPr>
        <w:t>mL</w:t>
      </w:r>
      <w:r w:rsidRPr="005F25CA">
        <w:rPr>
          <w:sz w:val="24"/>
          <w:szCs w:val="24"/>
          <w:lang w:val="en-US"/>
        </w:rPr>
        <w:t>, 0</w:t>
      </w:r>
      <w:r w:rsidR="00526C52" w:rsidRPr="005F25CA">
        <w:rPr>
          <w:sz w:val="24"/>
          <w:szCs w:val="24"/>
          <w:lang w:val="en-US"/>
        </w:rPr>
        <w:t>.</w:t>
      </w:r>
      <w:r w:rsidRPr="005F25CA">
        <w:rPr>
          <w:sz w:val="24"/>
          <w:szCs w:val="24"/>
          <w:lang w:val="en-US"/>
        </w:rPr>
        <w:t xml:space="preserve">6 </w:t>
      </w:r>
      <w:r w:rsidR="00D027D1" w:rsidRPr="005F25CA">
        <w:rPr>
          <w:sz w:val="24"/>
          <w:szCs w:val="24"/>
          <w:lang w:val="en-US"/>
        </w:rPr>
        <w:t>mL</w:t>
      </w:r>
      <w:r w:rsidR="00526C52" w:rsidRPr="005F25CA">
        <w:rPr>
          <w:sz w:val="24"/>
          <w:szCs w:val="24"/>
          <w:lang w:val="en-US"/>
        </w:rPr>
        <w:t xml:space="preserve"> or </w:t>
      </w:r>
      <w:r w:rsidRPr="005F25CA">
        <w:rPr>
          <w:sz w:val="24"/>
          <w:szCs w:val="24"/>
          <w:lang w:val="en-US"/>
        </w:rPr>
        <w:t>0</w:t>
      </w:r>
      <w:r w:rsidR="00526C52" w:rsidRPr="005F25CA">
        <w:rPr>
          <w:sz w:val="24"/>
          <w:szCs w:val="24"/>
          <w:lang w:val="en-US"/>
        </w:rPr>
        <w:t>.</w:t>
      </w:r>
      <w:r w:rsidRPr="005F25CA">
        <w:rPr>
          <w:sz w:val="24"/>
          <w:szCs w:val="24"/>
          <w:lang w:val="en-US"/>
        </w:rPr>
        <w:t xml:space="preserve">8 </w:t>
      </w:r>
      <w:r w:rsidR="00D027D1" w:rsidRPr="005F25CA">
        <w:rPr>
          <w:sz w:val="24"/>
          <w:szCs w:val="24"/>
          <w:lang w:val="en-US"/>
        </w:rPr>
        <w:t>mL</w:t>
      </w:r>
      <w:r w:rsidR="00526C52" w:rsidRPr="005F25CA">
        <w:rPr>
          <w:sz w:val="24"/>
          <w:szCs w:val="24"/>
          <w:lang w:val="en-US"/>
        </w:rPr>
        <w:t xml:space="preserve"> </w:t>
      </w:r>
      <w:r w:rsidR="0082147C">
        <w:rPr>
          <w:sz w:val="24"/>
          <w:szCs w:val="24"/>
          <w:lang w:val="en-US"/>
        </w:rPr>
        <w:t>per</w:t>
      </w:r>
      <w:r w:rsidR="00526C52" w:rsidRPr="005F25CA">
        <w:rPr>
          <w:sz w:val="24"/>
          <w:szCs w:val="24"/>
          <w:lang w:val="en-US"/>
        </w:rPr>
        <w:t xml:space="preserve"> syringe</w:t>
      </w:r>
      <w:r w:rsidRPr="005F25CA">
        <w:rPr>
          <w:sz w:val="24"/>
          <w:szCs w:val="24"/>
          <w:lang w:val="en-US"/>
        </w:rPr>
        <w:t>.</w:t>
      </w:r>
      <w:proofErr w:type="gramEnd"/>
    </w:p>
    <w:p w:rsidR="00512251" w:rsidRPr="005F25CA" w:rsidRDefault="00D36A8D" w:rsidP="002701F5">
      <w:pPr>
        <w:pStyle w:val="4"/>
        <w:shd w:val="clear" w:color="auto" w:fill="auto"/>
        <w:spacing w:line="240" w:lineRule="auto"/>
        <w:ind w:firstLine="0"/>
        <w:jc w:val="both"/>
        <w:rPr>
          <w:sz w:val="24"/>
          <w:szCs w:val="24"/>
          <w:lang w:val="en-US"/>
        </w:rPr>
      </w:pPr>
      <w:r w:rsidRPr="005F25CA">
        <w:rPr>
          <w:sz w:val="24"/>
          <w:szCs w:val="24"/>
          <w:lang w:val="en-US"/>
        </w:rPr>
        <w:t>1</w:t>
      </w:r>
      <w:r w:rsidR="000E6A4C" w:rsidRPr="005F25CA">
        <w:rPr>
          <w:sz w:val="24"/>
          <w:szCs w:val="24"/>
          <w:lang w:val="en-US"/>
        </w:rPr>
        <w:t xml:space="preserve"> syringe in a blister</w:t>
      </w:r>
      <w:r w:rsidRPr="005F25CA">
        <w:rPr>
          <w:sz w:val="24"/>
          <w:szCs w:val="24"/>
          <w:lang w:val="en-US"/>
        </w:rPr>
        <w:t xml:space="preserve">. 1, 2 </w:t>
      </w:r>
      <w:r w:rsidR="000E6A4C" w:rsidRPr="005F25CA">
        <w:rPr>
          <w:sz w:val="24"/>
          <w:szCs w:val="24"/>
          <w:lang w:val="en-US"/>
        </w:rPr>
        <w:t>and</w:t>
      </w:r>
      <w:r w:rsidRPr="005F25CA">
        <w:rPr>
          <w:sz w:val="24"/>
          <w:szCs w:val="24"/>
          <w:lang w:val="en-US"/>
        </w:rPr>
        <w:t xml:space="preserve"> 10 </w:t>
      </w:r>
      <w:r w:rsidR="000E6A4C" w:rsidRPr="005F25CA">
        <w:rPr>
          <w:sz w:val="24"/>
          <w:szCs w:val="24"/>
          <w:lang w:val="en-US"/>
        </w:rPr>
        <w:t>blisters</w:t>
      </w:r>
      <w:r w:rsidRPr="005F25CA">
        <w:rPr>
          <w:sz w:val="24"/>
          <w:szCs w:val="24"/>
          <w:lang w:val="en-US"/>
        </w:rPr>
        <w:t xml:space="preserve"> (</w:t>
      </w:r>
      <w:r w:rsidR="00B11177" w:rsidRPr="005F25CA">
        <w:rPr>
          <w:sz w:val="24"/>
          <w:szCs w:val="24"/>
          <w:lang w:val="en-US"/>
        </w:rPr>
        <w:t>2</w:t>
      </w:r>
      <w:r w:rsidR="004A5A61" w:rsidRPr="005F25CA">
        <w:rPr>
          <w:sz w:val="24"/>
          <w:szCs w:val="24"/>
          <w:lang w:val="en-US"/>
        </w:rPr>
        <w:t>,</w:t>
      </w:r>
      <w:r w:rsidR="00B11177" w:rsidRPr="005F25CA">
        <w:rPr>
          <w:sz w:val="24"/>
          <w:szCs w:val="24"/>
          <w:lang w:val="en-US"/>
        </w:rPr>
        <w:t>000 anti-Xa IU, 4</w:t>
      </w:r>
      <w:r w:rsidR="004A5A61" w:rsidRPr="005F25CA">
        <w:rPr>
          <w:sz w:val="24"/>
          <w:szCs w:val="24"/>
          <w:lang w:val="en-US"/>
        </w:rPr>
        <w:t>,</w:t>
      </w:r>
      <w:r w:rsidR="00B11177" w:rsidRPr="005F25CA">
        <w:rPr>
          <w:sz w:val="24"/>
          <w:szCs w:val="24"/>
          <w:lang w:val="en-US"/>
        </w:rPr>
        <w:t>000 IU anti-Xa, 6</w:t>
      </w:r>
      <w:r w:rsidR="004A5A61" w:rsidRPr="005F25CA">
        <w:rPr>
          <w:sz w:val="24"/>
          <w:szCs w:val="24"/>
          <w:lang w:val="en-US"/>
        </w:rPr>
        <w:t>,</w:t>
      </w:r>
      <w:r w:rsidR="00B11177" w:rsidRPr="005F25CA">
        <w:rPr>
          <w:sz w:val="24"/>
          <w:szCs w:val="24"/>
          <w:lang w:val="en-US"/>
        </w:rPr>
        <w:t>000 anti-Xa IU drug activity) and 1 or 2 blisters (8</w:t>
      </w:r>
      <w:r w:rsidR="004A5A61" w:rsidRPr="005F25CA">
        <w:rPr>
          <w:sz w:val="24"/>
          <w:szCs w:val="24"/>
          <w:lang w:val="en-US"/>
        </w:rPr>
        <w:t>,</w:t>
      </w:r>
      <w:r w:rsidR="00B11177" w:rsidRPr="005F25CA">
        <w:rPr>
          <w:sz w:val="24"/>
          <w:szCs w:val="24"/>
          <w:lang w:val="en-US"/>
        </w:rPr>
        <w:t>000 anti Xa IU drug activity) inserted into a carton</w:t>
      </w:r>
      <w:r w:rsidRPr="005F25CA">
        <w:rPr>
          <w:sz w:val="24"/>
          <w:szCs w:val="24"/>
          <w:lang w:val="en-US"/>
        </w:rPr>
        <w:t>.</w:t>
      </w:r>
    </w:p>
    <w:p w:rsidR="00512251" w:rsidRPr="005F25CA" w:rsidRDefault="00D36A8D" w:rsidP="002701F5">
      <w:pPr>
        <w:pStyle w:val="4"/>
        <w:shd w:val="clear" w:color="auto" w:fill="auto"/>
        <w:spacing w:line="240" w:lineRule="auto"/>
        <w:ind w:firstLine="0"/>
        <w:jc w:val="both"/>
        <w:rPr>
          <w:sz w:val="24"/>
          <w:szCs w:val="24"/>
          <w:lang w:val="en-US"/>
        </w:rPr>
      </w:pPr>
      <w:r w:rsidRPr="005F25CA">
        <w:rPr>
          <w:sz w:val="24"/>
          <w:szCs w:val="24"/>
          <w:lang w:val="en-US"/>
        </w:rPr>
        <w:t xml:space="preserve">2 </w:t>
      </w:r>
      <w:r w:rsidR="00B11177" w:rsidRPr="005F25CA">
        <w:rPr>
          <w:sz w:val="24"/>
          <w:szCs w:val="24"/>
          <w:lang w:val="en-US"/>
        </w:rPr>
        <w:t xml:space="preserve"> syringes in a blister</w:t>
      </w:r>
      <w:r w:rsidRPr="005F25CA">
        <w:rPr>
          <w:sz w:val="24"/>
          <w:szCs w:val="24"/>
          <w:lang w:val="en-US"/>
        </w:rPr>
        <w:t>. 1</w:t>
      </w:r>
      <w:r w:rsidR="00B11177" w:rsidRPr="005F25CA">
        <w:rPr>
          <w:sz w:val="24"/>
          <w:szCs w:val="24"/>
          <w:lang w:val="en-US"/>
        </w:rPr>
        <w:t xml:space="preserve"> and </w:t>
      </w:r>
      <w:r w:rsidRPr="005F25CA">
        <w:rPr>
          <w:sz w:val="24"/>
          <w:szCs w:val="24"/>
          <w:lang w:val="en-US"/>
        </w:rPr>
        <w:t xml:space="preserve">5 </w:t>
      </w:r>
      <w:r w:rsidR="005F25CA">
        <w:rPr>
          <w:sz w:val="24"/>
          <w:szCs w:val="24"/>
          <w:lang w:val="en-US"/>
        </w:rPr>
        <w:t>blisters</w:t>
      </w:r>
      <w:r w:rsidRPr="005F25CA">
        <w:rPr>
          <w:sz w:val="24"/>
          <w:szCs w:val="24"/>
          <w:lang w:val="en-US"/>
        </w:rPr>
        <w:t xml:space="preserve"> (2</w:t>
      </w:r>
      <w:r w:rsidR="004A5A61" w:rsidRPr="005F25CA">
        <w:rPr>
          <w:sz w:val="24"/>
          <w:szCs w:val="24"/>
          <w:lang w:val="en-US"/>
        </w:rPr>
        <w:t>,</w:t>
      </w:r>
      <w:r w:rsidRPr="005F25CA">
        <w:rPr>
          <w:sz w:val="24"/>
          <w:szCs w:val="24"/>
          <w:lang w:val="en-US"/>
        </w:rPr>
        <w:t xml:space="preserve">000 </w:t>
      </w:r>
      <w:r w:rsidR="00B11177" w:rsidRPr="005F25CA">
        <w:rPr>
          <w:sz w:val="24"/>
          <w:szCs w:val="24"/>
          <w:lang w:val="en-US"/>
        </w:rPr>
        <w:t>anti-Xa IU</w:t>
      </w:r>
      <w:r w:rsidRPr="005F25CA">
        <w:rPr>
          <w:sz w:val="24"/>
          <w:szCs w:val="24"/>
          <w:lang w:val="en-US"/>
        </w:rPr>
        <w:t>, 4</w:t>
      </w:r>
      <w:r w:rsidR="004A5A61" w:rsidRPr="005F25CA">
        <w:rPr>
          <w:sz w:val="24"/>
          <w:szCs w:val="24"/>
          <w:lang w:val="en-US"/>
        </w:rPr>
        <w:t>,</w:t>
      </w:r>
      <w:r w:rsidRPr="005F25CA">
        <w:rPr>
          <w:sz w:val="24"/>
          <w:szCs w:val="24"/>
          <w:lang w:val="en-US"/>
        </w:rPr>
        <w:t xml:space="preserve">000 </w:t>
      </w:r>
      <w:r w:rsidR="00B11177" w:rsidRPr="005F25CA">
        <w:rPr>
          <w:sz w:val="24"/>
          <w:szCs w:val="24"/>
          <w:lang w:val="en-US"/>
        </w:rPr>
        <w:t>anti-Xa IU</w:t>
      </w:r>
      <w:r w:rsidRPr="005F25CA">
        <w:rPr>
          <w:sz w:val="24"/>
          <w:szCs w:val="24"/>
          <w:lang w:val="en-US"/>
        </w:rPr>
        <w:t>, 6</w:t>
      </w:r>
      <w:r w:rsidR="004A5A61" w:rsidRPr="005F25CA">
        <w:rPr>
          <w:sz w:val="24"/>
          <w:szCs w:val="24"/>
          <w:lang w:val="en-US"/>
        </w:rPr>
        <w:t>,</w:t>
      </w:r>
      <w:r w:rsidRPr="005F25CA">
        <w:rPr>
          <w:sz w:val="24"/>
          <w:szCs w:val="24"/>
          <w:lang w:val="en-US"/>
        </w:rPr>
        <w:t xml:space="preserve">000 </w:t>
      </w:r>
      <w:r w:rsidR="00B11177" w:rsidRPr="005F25CA">
        <w:rPr>
          <w:sz w:val="24"/>
          <w:szCs w:val="24"/>
          <w:lang w:val="en-US"/>
        </w:rPr>
        <w:t>anti-Xa IU drug activity</w:t>
      </w:r>
      <w:r w:rsidRPr="005F25CA">
        <w:rPr>
          <w:sz w:val="24"/>
          <w:szCs w:val="24"/>
          <w:lang w:val="en-US"/>
        </w:rPr>
        <w:t xml:space="preserve">) </w:t>
      </w:r>
      <w:r w:rsidR="00B11177" w:rsidRPr="005F25CA">
        <w:rPr>
          <w:sz w:val="24"/>
          <w:szCs w:val="24"/>
          <w:lang w:val="en-US"/>
        </w:rPr>
        <w:t>and</w:t>
      </w:r>
      <w:r w:rsidRPr="005F25CA">
        <w:rPr>
          <w:sz w:val="24"/>
          <w:szCs w:val="24"/>
          <w:lang w:val="en-US"/>
        </w:rPr>
        <w:t xml:space="preserve"> 1 </w:t>
      </w:r>
      <w:r w:rsidR="00B11177" w:rsidRPr="005F25CA">
        <w:rPr>
          <w:sz w:val="24"/>
          <w:szCs w:val="24"/>
          <w:lang w:val="en-US"/>
        </w:rPr>
        <w:t>blister</w:t>
      </w:r>
      <w:r w:rsidRPr="005F25CA">
        <w:rPr>
          <w:sz w:val="24"/>
          <w:szCs w:val="24"/>
          <w:lang w:val="en-US"/>
        </w:rPr>
        <w:t xml:space="preserve"> </w:t>
      </w:r>
      <w:r w:rsidR="00B11177" w:rsidRPr="005F25CA">
        <w:rPr>
          <w:sz w:val="24"/>
          <w:szCs w:val="24"/>
          <w:lang w:val="en-US"/>
        </w:rPr>
        <w:t>(8</w:t>
      </w:r>
      <w:r w:rsidR="004A5A61" w:rsidRPr="005F25CA">
        <w:rPr>
          <w:sz w:val="24"/>
          <w:szCs w:val="24"/>
          <w:lang w:val="en-US"/>
        </w:rPr>
        <w:t>,</w:t>
      </w:r>
      <w:r w:rsidR="00B11177" w:rsidRPr="005F25CA">
        <w:rPr>
          <w:sz w:val="24"/>
          <w:szCs w:val="24"/>
          <w:lang w:val="en-US"/>
        </w:rPr>
        <w:t>000 anti Xa IU drug activity) inserted into a carton</w:t>
      </w:r>
      <w:r w:rsidRPr="005F25CA">
        <w:rPr>
          <w:sz w:val="24"/>
          <w:szCs w:val="24"/>
          <w:lang w:val="en-US"/>
        </w:rPr>
        <w:t>.</w:t>
      </w:r>
    </w:p>
    <w:p w:rsidR="004A5A61" w:rsidRPr="005F25CA" w:rsidRDefault="004A5A61" w:rsidP="002701F5">
      <w:pPr>
        <w:pStyle w:val="20"/>
        <w:shd w:val="clear" w:color="auto" w:fill="auto"/>
        <w:spacing w:after="0" w:line="240" w:lineRule="auto"/>
        <w:jc w:val="both"/>
        <w:rPr>
          <w:color w:val="222222"/>
          <w:sz w:val="24"/>
          <w:szCs w:val="24"/>
          <w:shd w:val="clear" w:color="auto" w:fill="FFFFFF"/>
          <w:lang w:val="en-US"/>
        </w:rPr>
      </w:pPr>
    </w:p>
    <w:p w:rsidR="009D0CCA" w:rsidRDefault="005F25CA" w:rsidP="002701F5">
      <w:pPr>
        <w:pStyle w:val="20"/>
        <w:shd w:val="clear" w:color="auto" w:fill="auto"/>
        <w:spacing w:after="0" w:line="240" w:lineRule="auto"/>
        <w:jc w:val="both"/>
        <w:rPr>
          <w:color w:val="222222"/>
          <w:sz w:val="24"/>
          <w:szCs w:val="24"/>
          <w:shd w:val="clear" w:color="auto" w:fill="FFFFFF"/>
          <w:lang w:val="en-US"/>
        </w:rPr>
      </w:pPr>
      <w:r w:rsidRPr="005F25CA">
        <w:rPr>
          <w:color w:val="222222"/>
          <w:sz w:val="24"/>
          <w:szCs w:val="24"/>
          <w:shd w:val="clear" w:color="auto" w:fill="FFFFFF"/>
          <w:lang w:val="en-US"/>
        </w:rPr>
        <w:t>Prescription</w:t>
      </w:r>
      <w:r w:rsidR="00B11177" w:rsidRPr="005F25CA">
        <w:rPr>
          <w:color w:val="222222"/>
          <w:sz w:val="24"/>
          <w:szCs w:val="24"/>
          <w:shd w:val="clear" w:color="auto" w:fill="FFFFFF"/>
          <w:lang w:val="en-US"/>
        </w:rPr>
        <w:t xml:space="preserve"> status</w:t>
      </w:r>
    </w:p>
    <w:p w:rsidR="00512251" w:rsidRPr="005F25CA" w:rsidRDefault="00B11177" w:rsidP="002701F5">
      <w:pPr>
        <w:pStyle w:val="20"/>
        <w:shd w:val="clear" w:color="auto" w:fill="auto"/>
        <w:spacing w:after="0" w:line="240" w:lineRule="auto"/>
        <w:jc w:val="both"/>
        <w:rPr>
          <w:sz w:val="24"/>
          <w:szCs w:val="24"/>
          <w:lang w:val="en-US"/>
        </w:rPr>
      </w:pPr>
      <w:proofErr w:type="gramStart"/>
      <w:r w:rsidRPr="005F25CA">
        <w:rPr>
          <w:b w:val="0"/>
          <w:color w:val="222222"/>
          <w:sz w:val="24"/>
          <w:szCs w:val="24"/>
          <w:shd w:val="clear" w:color="auto" w:fill="FFFFFF"/>
          <w:lang w:val="en-US"/>
        </w:rPr>
        <w:t>Prescription only</w:t>
      </w:r>
      <w:r w:rsidR="00D36A8D" w:rsidRPr="005F25CA">
        <w:rPr>
          <w:rStyle w:val="22"/>
          <w:sz w:val="24"/>
          <w:szCs w:val="24"/>
          <w:lang w:val="en-US"/>
        </w:rPr>
        <w:t>.</w:t>
      </w:r>
      <w:proofErr w:type="gramEnd"/>
    </w:p>
    <w:p w:rsidR="004A5A61" w:rsidRPr="005F25CA" w:rsidRDefault="004A5A61" w:rsidP="002701F5">
      <w:pPr>
        <w:pStyle w:val="4"/>
        <w:shd w:val="clear" w:color="auto" w:fill="auto"/>
        <w:spacing w:line="240" w:lineRule="auto"/>
        <w:ind w:firstLine="0"/>
        <w:jc w:val="both"/>
        <w:rPr>
          <w:rStyle w:val="a8"/>
          <w:sz w:val="24"/>
          <w:szCs w:val="24"/>
          <w:lang w:val="en-US"/>
        </w:rPr>
      </w:pPr>
    </w:p>
    <w:p w:rsidR="009D0CCA" w:rsidRDefault="00B11177" w:rsidP="002701F5">
      <w:pPr>
        <w:pStyle w:val="4"/>
        <w:shd w:val="clear" w:color="auto" w:fill="auto"/>
        <w:spacing w:line="240" w:lineRule="auto"/>
        <w:ind w:firstLine="0"/>
        <w:jc w:val="both"/>
        <w:rPr>
          <w:rStyle w:val="a8"/>
          <w:sz w:val="24"/>
          <w:szCs w:val="24"/>
          <w:lang w:val="en-US"/>
        </w:rPr>
      </w:pPr>
      <w:r w:rsidRPr="005F25CA">
        <w:rPr>
          <w:rStyle w:val="a8"/>
          <w:sz w:val="24"/>
          <w:szCs w:val="24"/>
          <w:lang w:val="en-US"/>
        </w:rPr>
        <w:t>Manufacturer</w:t>
      </w:r>
    </w:p>
    <w:p w:rsidR="00512251" w:rsidRPr="005F25CA" w:rsidRDefault="00B11177" w:rsidP="002701F5">
      <w:pPr>
        <w:pStyle w:val="4"/>
        <w:shd w:val="clear" w:color="auto" w:fill="auto"/>
        <w:spacing w:line="240" w:lineRule="auto"/>
        <w:ind w:firstLine="0"/>
        <w:jc w:val="both"/>
        <w:rPr>
          <w:sz w:val="24"/>
          <w:szCs w:val="24"/>
          <w:lang w:val="en-US"/>
        </w:rPr>
      </w:pPr>
      <w:r w:rsidRPr="005F25CA">
        <w:rPr>
          <w:rStyle w:val="a8"/>
          <w:b w:val="0"/>
          <w:sz w:val="24"/>
          <w:szCs w:val="24"/>
          <w:lang w:val="en-US"/>
        </w:rPr>
        <w:t>Farmak JSC</w:t>
      </w:r>
      <w:r w:rsidR="00D36A8D" w:rsidRPr="005F25CA">
        <w:rPr>
          <w:sz w:val="24"/>
          <w:szCs w:val="24"/>
          <w:lang w:val="en-US"/>
        </w:rPr>
        <w:t>.</w:t>
      </w:r>
    </w:p>
    <w:p w:rsidR="004A5A61" w:rsidRPr="005F25CA" w:rsidRDefault="004A5A61" w:rsidP="002701F5">
      <w:pPr>
        <w:pStyle w:val="20"/>
        <w:shd w:val="clear" w:color="auto" w:fill="auto"/>
        <w:spacing w:after="0" w:line="240" w:lineRule="auto"/>
        <w:jc w:val="both"/>
        <w:rPr>
          <w:rStyle w:val="a8"/>
          <w:b/>
          <w:sz w:val="24"/>
          <w:szCs w:val="24"/>
          <w:lang w:val="en-US"/>
        </w:rPr>
      </w:pPr>
    </w:p>
    <w:p w:rsidR="00512251" w:rsidRPr="005F25CA" w:rsidRDefault="004A7E56" w:rsidP="002701F5">
      <w:pPr>
        <w:pStyle w:val="20"/>
        <w:shd w:val="clear" w:color="auto" w:fill="auto"/>
        <w:spacing w:after="0" w:line="240" w:lineRule="auto"/>
        <w:jc w:val="both"/>
        <w:rPr>
          <w:b w:val="0"/>
          <w:sz w:val="24"/>
          <w:szCs w:val="24"/>
          <w:lang w:val="en-US"/>
        </w:rPr>
      </w:pPr>
      <w:r w:rsidRPr="005F25CA">
        <w:rPr>
          <w:rStyle w:val="a8"/>
          <w:b/>
          <w:sz w:val="24"/>
          <w:szCs w:val="24"/>
          <w:lang w:val="en-US"/>
        </w:rPr>
        <w:t>Location of manufacturer and address of manufacturing site</w:t>
      </w:r>
      <w:r w:rsidR="00D36A8D" w:rsidRPr="005F25CA">
        <w:rPr>
          <w:b w:val="0"/>
          <w:sz w:val="24"/>
          <w:szCs w:val="24"/>
          <w:lang w:val="en-US"/>
        </w:rPr>
        <w:t>.</w:t>
      </w:r>
    </w:p>
    <w:p w:rsidR="00512251" w:rsidRPr="005F25CA" w:rsidRDefault="004A7E56" w:rsidP="002701F5">
      <w:pPr>
        <w:pStyle w:val="4"/>
        <w:shd w:val="clear" w:color="auto" w:fill="auto"/>
        <w:spacing w:line="240" w:lineRule="auto"/>
        <w:ind w:firstLine="0"/>
        <w:jc w:val="both"/>
        <w:rPr>
          <w:sz w:val="24"/>
          <w:szCs w:val="24"/>
          <w:lang w:val="en-US"/>
        </w:rPr>
      </w:pPr>
      <w:r w:rsidRPr="005F25CA">
        <w:rPr>
          <w:bCs/>
          <w:sz w:val="24"/>
          <w:szCs w:val="24"/>
          <w:lang w:val="en-US"/>
        </w:rPr>
        <w:t>63, Frunze str., Kyiv 04080, Ukraine</w:t>
      </w:r>
      <w:r w:rsidR="00D36A8D" w:rsidRPr="005F25CA">
        <w:rPr>
          <w:sz w:val="24"/>
          <w:szCs w:val="24"/>
          <w:lang w:val="en-US"/>
        </w:rPr>
        <w:t>.</w:t>
      </w:r>
    </w:p>
    <w:p w:rsidR="004A5A61" w:rsidRPr="005F25CA" w:rsidRDefault="004A5A61" w:rsidP="002701F5">
      <w:pPr>
        <w:pStyle w:val="20"/>
        <w:shd w:val="clear" w:color="auto" w:fill="auto"/>
        <w:tabs>
          <w:tab w:val="right" w:pos="6637"/>
          <w:tab w:val="center" w:pos="7834"/>
          <w:tab w:val="center" w:pos="7964"/>
          <w:tab w:val="center" w:pos="8267"/>
        </w:tabs>
        <w:spacing w:after="0" w:line="240" w:lineRule="auto"/>
        <w:jc w:val="both"/>
        <w:rPr>
          <w:bCs w:val="0"/>
          <w:sz w:val="24"/>
          <w:szCs w:val="24"/>
          <w:lang w:val="en-US"/>
        </w:rPr>
      </w:pPr>
    </w:p>
    <w:p w:rsidR="00512251" w:rsidRPr="005F25CA" w:rsidRDefault="004A7E56" w:rsidP="002701F5">
      <w:pPr>
        <w:pStyle w:val="20"/>
        <w:shd w:val="clear" w:color="auto" w:fill="auto"/>
        <w:tabs>
          <w:tab w:val="right" w:pos="6637"/>
          <w:tab w:val="center" w:pos="7834"/>
          <w:tab w:val="center" w:pos="7964"/>
          <w:tab w:val="center" w:pos="8267"/>
        </w:tabs>
        <w:spacing w:after="0" w:line="240" w:lineRule="auto"/>
        <w:jc w:val="both"/>
        <w:rPr>
          <w:b w:val="0"/>
          <w:sz w:val="24"/>
          <w:szCs w:val="24"/>
          <w:lang w:val="en-US"/>
        </w:rPr>
      </w:pPr>
      <w:r w:rsidRPr="005F25CA">
        <w:rPr>
          <w:bCs w:val="0"/>
          <w:sz w:val="24"/>
          <w:szCs w:val="24"/>
          <w:lang w:val="en-US"/>
        </w:rPr>
        <w:t>Date of the last revision</w:t>
      </w:r>
      <w:r w:rsidR="00D36A8D" w:rsidRPr="005F25CA">
        <w:rPr>
          <w:sz w:val="24"/>
          <w:szCs w:val="24"/>
          <w:lang w:val="en-US"/>
        </w:rPr>
        <w:t xml:space="preserve">. </w:t>
      </w:r>
      <w:r w:rsidRPr="005F25CA">
        <w:rPr>
          <w:b w:val="0"/>
          <w:sz w:val="24"/>
          <w:szCs w:val="24"/>
          <w:lang w:val="en-US"/>
        </w:rPr>
        <w:t>13.02.2014</w:t>
      </w:r>
    </w:p>
    <w:sectPr w:rsidR="00512251" w:rsidRPr="005F25CA" w:rsidSect="002701F5">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3E" w:rsidRDefault="00B3023E">
      <w:r>
        <w:separator/>
      </w:r>
    </w:p>
  </w:endnote>
  <w:endnote w:type="continuationSeparator" w:id="0">
    <w:p w:rsidR="00B3023E" w:rsidRDefault="00B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3E" w:rsidRDefault="00B3023E"/>
  </w:footnote>
  <w:footnote w:type="continuationSeparator" w:id="0">
    <w:p w:rsidR="00B3023E" w:rsidRDefault="00B302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FF9"/>
    <w:multiLevelType w:val="multilevel"/>
    <w:tmpl w:val="9B548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01AC8"/>
    <w:multiLevelType w:val="multilevel"/>
    <w:tmpl w:val="5E541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E2DF1"/>
    <w:multiLevelType w:val="hybridMultilevel"/>
    <w:tmpl w:val="6150A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A70E1"/>
    <w:multiLevelType w:val="hybridMultilevel"/>
    <w:tmpl w:val="94505366"/>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642A0"/>
    <w:multiLevelType w:val="multilevel"/>
    <w:tmpl w:val="69D2FD3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927CA"/>
    <w:multiLevelType w:val="hybridMultilevel"/>
    <w:tmpl w:val="74BE2FDE"/>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562EF"/>
    <w:multiLevelType w:val="hybridMultilevel"/>
    <w:tmpl w:val="7B7A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45C9A"/>
    <w:multiLevelType w:val="hybridMultilevel"/>
    <w:tmpl w:val="A372D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B66A4"/>
    <w:multiLevelType w:val="multilevel"/>
    <w:tmpl w:val="006C76C8"/>
    <w:lvl w:ilvl="0">
      <w:start w:val="1"/>
      <w:numFmt w:val="bullet"/>
      <w:lvlText w:val="&gt;"/>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82B95"/>
    <w:multiLevelType w:val="hybridMultilevel"/>
    <w:tmpl w:val="69124C8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1E282D14"/>
    <w:multiLevelType w:val="hybridMultilevel"/>
    <w:tmpl w:val="2EDC0FCC"/>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56D8C"/>
    <w:multiLevelType w:val="hybridMultilevel"/>
    <w:tmpl w:val="7C74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6171B"/>
    <w:multiLevelType w:val="hybridMultilevel"/>
    <w:tmpl w:val="267845B2"/>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45C71"/>
    <w:multiLevelType w:val="multilevel"/>
    <w:tmpl w:val="33967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64EFA"/>
    <w:multiLevelType w:val="multilevel"/>
    <w:tmpl w:val="5E541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757EF"/>
    <w:multiLevelType w:val="multilevel"/>
    <w:tmpl w:val="6A800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31261A"/>
    <w:multiLevelType w:val="multilevel"/>
    <w:tmpl w:val="B6A6773C"/>
    <w:lvl w:ilvl="0">
      <w:start w:val="1"/>
      <w:numFmt w:val="bullet"/>
      <w:lvlText w:val="-"/>
      <w:lvlJc w:val="left"/>
      <w:rPr>
        <w:rFonts w:ascii="Arial" w:eastAsia="Arial" w:hAnsi="Arial" w:cs="Arial"/>
        <w:b w:val="0"/>
        <w:bCs w:val="0"/>
        <w:i/>
        <w:iCs/>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956262"/>
    <w:multiLevelType w:val="hybridMultilevel"/>
    <w:tmpl w:val="147C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72BE3"/>
    <w:multiLevelType w:val="hybridMultilevel"/>
    <w:tmpl w:val="A9D03F5A"/>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BE7686"/>
    <w:multiLevelType w:val="hybridMultilevel"/>
    <w:tmpl w:val="7F16DB80"/>
    <w:lvl w:ilvl="0" w:tplc="5A862760">
      <w:start w:val="1"/>
      <w:numFmt w:val="bullet"/>
      <w:lvlText w:val=""/>
      <w:lvlJc w:val="left"/>
      <w:pPr>
        <w:ind w:left="720" w:hanging="360"/>
      </w:pPr>
      <w:rPr>
        <w:rFonts w:ascii="Symbol" w:hAnsi="Symbol" w:hint="default"/>
      </w:rPr>
    </w:lvl>
    <w:lvl w:ilvl="1" w:tplc="7BC0D86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B6B86"/>
    <w:multiLevelType w:val="hybridMultilevel"/>
    <w:tmpl w:val="A330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B3660F"/>
    <w:multiLevelType w:val="hybridMultilevel"/>
    <w:tmpl w:val="3F48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0E5C18"/>
    <w:multiLevelType w:val="hybridMultilevel"/>
    <w:tmpl w:val="831C5F30"/>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BB538B"/>
    <w:multiLevelType w:val="hybridMultilevel"/>
    <w:tmpl w:val="B1FEF770"/>
    <w:lvl w:ilvl="0" w:tplc="F6942E5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32539"/>
    <w:multiLevelType w:val="hybridMultilevel"/>
    <w:tmpl w:val="7E200D80"/>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B7ED8"/>
    <w:multiLevelType w:val="hybridMultilevel"/>
    <w:tmpl w:val="1556C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227358"/>
    <w:multiLevelType w:val="multilevel"/>
    <w:tmpl w:val="7C0C3FF8"/>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14"/>
        <w:szCs w:val="1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E51D7D"/>
    <w:multiLevelType w:val="hybridMultilevel"/>
    <w:tmpl w:val="14FC50E4"/>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885D4B"/>
    <w:multiLevelType w:val="hybridMultilevel"/>
    <w:tmpl w:val="AD5ADA06"/>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20263"/>
    <w:multiLevelType w:val="multilevel"/>
    <w:tmpl w:val="9048BFB0"/>
    <w:lvl w:ilvl="0">
      <w:start w:val="1"/>
      <w:numFmt w:val="bullet"/>
      <w:lvlText w:val="•"/>
      <w:lvlJc w:val="left"/>
      <w:rPr>
        <w:rFonts w:ascii="Trebuchet MS" w:eastAsia="Trebuchet MS" w:hAnsi="Trebuchet MS" w:cs="Trebuchet MS"/>
        <w:b w:val="0"/>
        <w:bCs w:val="0"/>
        <w:i w:val="0"/>
        <w:iCs w:val="0"/>
        <w:smallCaps w:val="0"/>
        <w:strike w:val="0"/>
        <w:color w:val="000000"/>
        <w:spacing w:val="-1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E41A8D"/>
    <w:multiLevelType w:val="hybridMultilevel"/>
    <w:tmpl w:val="9814C278"/>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D2563C"/>
    <w:multiLevelType w:val="hybridMultilevel"/>
    <w:tmpl w:val="207A4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545B2B"/>
    <w:multiLevelType w:val="hybridMultilevel"/>
    <w:tmpl w:val="906262B6"/>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FA1B37"/>
    <w:multiLevelType w:val="hybridMultilevel"/>
    <w:tmpl w:val="A32EB72A"/>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3968C5"/>
    <w:multiLevelType w:val="hybridMultilevel"/>
    <w:tmpl w:val="2EB096A4"/>
    <w:lvl w:ilvl="0" w:tplc="882A537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B82C13"/>
    <w:multiLevelType w:val="hybridMultilevel"/>
    <w:tmpl w:val="3CEC8EB2"/>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C5031"/>
    <w:multiLevelType w:val="hybridMultilevel"/>
    <w:tmpl w:val="6B58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3"/>
  </w:num>
  <w:num w:numId="5">
    <w:abstractNumId w:val="29"/>
  </w:num>
  <w:num w:numId="6">
    <w:abstractNumId w:val="16"/>
  </w:num>
  <w:num w:numId="7">
    <w:abstractNumId w:val="8"/>
  </w:num>
  <w:num w:numId="8">
    <w:abstractNumId w:val="26"/>
  </w:num>
  <w:num w:numId="9">
    <w:abstractNumId w:val="35"/>
  </w:num>
  <w:num w:numId="10">
    <w:abstractNumId w:val="25"/>
  </w:num>
  <w:num w:numId="11">
    <w:abstractNumId w:val="20"/>
  </w:num>
  <w:num w:numId="12">
    <w:abstractNumId w:val="7"/>
  </w:num>
  <w:num w:numId="13">
    <w:abstractNumId w:val="12"/>
  </w:num>
  <w:num w:numId="14">
    <w:abstractNumId w:val="10"/>
  </w:num>
  <w:num w:numId="15">
    <w:abstractNumId w:val="19"/>
  </w:num>
  <w:num w:numId="16">
    <w:abstractNumId w:val="34"/>
  </w:num>
  <w:num w:numId="17">
    <w:abstractNumId w:val="17"/>
  </w:num>
  <w:num w:numId="18">
    <w:abstractNumId w:val="23"/>
  </w:num>
  <w:num w:numId="19">
    <w:abstractNumId w:val="2"/>
  </w:num>
  <w:num w:numId="20">
    <w:abstractNumId w:val="36"/>
  </w:num>
  <w:num w:numId="21">
    <w:abstractNumId w:val="11"/>
  </w:num>
  <w:num w:numId="22">
    <w:abstractNumId w:val="6"/>
  </w:num>
  <w:num w:numId="23">
    <w:abstractNumId w:val="31"/>
  </w:num>
  <w:num w:numId="24">
    <w:abstractNumId w:val="5"/>
  </w:num>
  <w:num w:numId="25">
    <w:abstractNumId w:val="22"/>
  </w:num>
  <w:num w:numId="26">
    <w:abstractNumId w:val="24"/>
  </w:num>
  <w:num w:numId="27">
    <w:abstractNumId w:val="21"/>
  </w:num>
  <w:num w:numId="28">
    <w:abstractNumId w:val="9"/>
  </w:num>
  <w:num w:numId="29">
    <w:abstractNumId w:val="32"/>
  </w:num>
  <w:num w:numId="30">
    <w:abstractNumId w:val="3"/>
  </w:num>
  <w:num w:numId="31">
    <w:abstractNumId w:val="27"/>
  </w:num>
  <w:num w:numId="32">
    <w:abstractNumId w:val="30"/>
  </w:num>
  <w:num w:numId="33">
    <w:abstractNumId w:val="18"/>
  </w:num>
  <w:num w:numId="34">
    <w:abstractNumId w:val="28"/>
  </w:num>
  <w:num w:numId="35">
    <w:abstractNumId w:val="14"/>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12251"/>
    <w:rsid w:val="000050F9"/>
    <w:rsid w:val="00007BB7"/>
    <w:rsid w:val="00012CEE"/>
    <w:rsid w:val="00043F0E"/>
    <w:rsid w:val="00044C3D"/>
    <w:rsid w:val="00050C5F"/>
    <w:rsid w:val="00051AF5"/>
    <w:rsid w:val="000574A8"/>
    <w:rsid w:val="000625C6"/>
    <w:rsid w:val="0006571F"/>
    <w:rsid w:val="00075D28"/>
    <w:rsid w:val="00075D90"/>
    <w:rsid w:val="00081B80"/>
    <w:rsid w:val="0009230F"/>
    <w:rsid w:val="0009684D"/>
    <w:rsid w:val="000B0E33"/>
    <w:rsid w:val="000C27C8"/>
    <w:rsid w:val="000D5F9F"/>
    <w:rsid w:val="000D6137"/>
    <w:rsid w:val="000E48DA"/>
    <w:rsid w:val="000E6A4C"/>
    <w:rsid w:val="000F0920"/>
    <w:rsid w:val="001046CC"/>
    <w:rsid w:val="0011312E"/>
    <w:rsid w:val="00114EDE"/>
    <w:rsid w:val="00116C92"/>
    <w:rsid w:val="00160D43"/>
    <w:rsid w:val="00183109"/>
    <w:rsid w:val="001A4651"/>
    <w:rsid w:val="001B5CE4"/>
    <w:rsid w:val="001D2D40"/>
    <w:rsid w:val="001D3723"/>
    <w:rsid w:val="001E29E2"/>
    <w:rsid w:val="001F097D"/>
    <w:rsid w:val="001F1E5E"/>
    <w:rsid w:val="001F3FBA"/>
    <w:rsid w:val="001F6853"/>
    <w:rsid w:val="001F77FC"/>
    <w:rsid w:val="00204AEF"/>
    <w:rsid w:val="002062C1"/>
    <w:rsid w:val="00211891"/>
    <w:rsid w:val="002173F4"/>
    <w:rsid w:val="002235C7"/>
    <w:rsid w:val="00223C8B"/>
    <w:rsid w:val="0022516A"/>
    <w:rsid w:val="00231638"/>
    <w:rsid w:val="00231997"/>
    <w:rsid w:val="00232D83"/>
    <w:rsid w:val="00234934"/>
    <w:rsid w:val="002366F6"/>
    <w:rsid w:val="00254FC2"/>
    <w:rsid w:val="002701F5"/>
    <w:rsid w:val="00280CBA"/>
    <w:rsid w:val="002908D4"/>
    <w:rsid w:val="00291A5D"/>
    <w:rsid w:val="00292A17"/>
    <w:rsid w:val="002A2D26"/>
    <w:rsid w:val="002A2FA4"/>
    <w:rsid w:val="002B03A6"/>
    <w:rsid w:val="002C042B"/>
    <w:rsid w:val="002C4827"/>
    <w:rsid w:val="002E3505"/>
    <w:rsid w:val="002E6224"/>
    <w:rsid w:val="002F6C5E"/>
    <w:rsid w:val="0030480A"/>
    <w:rsid w:val="00326E9A"/>
    <w:rsid w:val="00331A00"/>
    <w:rsid w:val="00331F60"/>
    <w:rsid w:val="003360C5"/>
    <w:rsid w:val="003415FA"/>
    <w:rsid w:val="00357141"/>
    <w:rsid w:val="0036382E"/>
    <w:rsid w:val="00384023"/>
    <w:rsid w:val="00384648"/>
    <w:rsid w:val="003910C9"/>
    <w:rsid w:val="00391B88"/>
    <w:rsid w:val="003B0A6E"/>
    <w:rsid w:val="003B230C"/>
    <w:rsid w:val="003B5AC2"/>
    <w:rsid w:val="003B72AB"/>
    <w:rsid w:val="003C4525"/>
    <w:rsid w:val="003C6DAF"/>
    <w:rsid w:val="003F6ED6"/>
    <w:rsid w:val="00407851"/>
    <w:rsid w:val="0041532A"/>
    <w:rsid w:val="00421862"/>
    <w:rsid w:val="0042252E"/>
    <w:rsid w:val="00426AE5"/>
    <w:rsid w:val="0043445B"/>
    <w:rsid w:val="00436CD5"/>
    <w:rsid w:val="004476FA"/>
    <w:rsid w:val="004600BB"/>
    <w:rsid w:val="00465EA7"/>
    <w:rsid w:val="004A0620"/>
    <w:rsid w:val="004A5A61"/>
    <w:rsid w:val="004A7E56"/>
    <w:rsid w:val="004C54BC"/>
    <w:rsid w:val="004D28EC"/>
    <w:rsid w:val="004F2326"/>
    <w:rsid w:val="00512251"/>
    <w:rsid w:val="00520550"/>
    <w:rsid w:val="00526C52"/>
    <w:rsid w:val="00550249"/>
    <w:rsid w:val="0057668C"/>
    <w:rsid w:val="005A299C"/>
    <w:rsid w:val="005A55F7"/>
    <w:rsid w:val="005B0F12"/>
    <w:rsid w:val="005B43B4"/>
    <w:rsid w:val="005B6178"/>
    <w:rsid w:val="005C06BD"/>
    <w:rsid w:val="005C2876"/>
    <w:rsid w:val="005C7489"/>
    <w:rsid w:val="005D54B5"/>
    <w:rsid w:val="005D5708"/>
    <w:rsid w:val="005D76E6"/>
    <w:rsid w:val="005E6301"/>
    <w:rsid w:val="005F25CA"/>
    <w:rsid w:val="00601035"/>
    <w:rsid w:val="0060118F"/>
    <w:rsid w:val="00605134"/>
    <w:rsid w:val="00613E40"/>
    <w:rsid w:val="0061442F"/>
    <w:rsid w:val="00614B3F"/>
    <w:rsid w:val="00616874"/>
    <w:rsid w:val="00622D20"/>
    <w:rsid w:val="0062324A"/>
    <w:rsid w:val="00637EA7"/>
    <w:rsid w:val="0064649F"/>
    <w:rsid w:val="00684B32"/>
    <w:rsid w:val="00687ABD"/>
    <w:rsid w:val="006919AB"/>
    <w:rsid w:val="006A718E"/>
    <w:rsid w:val="006B42EB"/>
    <w:rsid w:val="006C1430"/>
    <w:rsid w:val="006C2038"/>
    <w:rsid w:val="006D0C94"/>
    <w:rsid w:val="006D2195"/>
    <w:rsid w:val="006E4568"/>
    <w:rsid w:val="006E7A51"/>
    <w:rsid w:val="007029C2"/>
    <w:rsid w:val="0070321F"/>
    <w:rsid w:val="00710824"/>
    <w:rsid w:val="00714131"/>
    <w:rsid w:val="00714C27"/>
    <w:rsid w:val="00721AEE"/>
    <w:rsid w:val="00733DB5"/>
    <w:rsid w:val="00734F86"/>
    <w:rsid w:val="00765490"/>
    <w:rsid w:val="00776DFF"/>
    <w:rsid w:val="007A7EBC"/>
    <w:rsid w:val="007B0935"/>
    <w:rsid w:val="007C6037"/>
    <w:rsid w:val="007C7096"/>
    <w:rsid w:val="007D2096"/>
    <w:rsid w:val="007D3B38"/>
    <w:rsid w:val="007F280B"/>
    <w:rsid w:val="0082147C"/>
    <w:rsid w:val="008273AF"/>
    <w:rsid w:val="00856C9F"/>
    <w:rsid w:val="00891FFE"/>
    <w:rsid w:val="008921D7"/>
    <w:rsid w:val="008C2907"/>
    <w:rsid w:val="008D126E"/>
    <w:rsid w:val="008D5684"/>
    <w:rsid w:val="008D5ADC"/>
    <w:rsid w:val="008E07CD"/>
    <w:rsid w:val="008E7E4D"/>
    <w:rsid w:val="008F5A3A"/>
    <w:rsid w:val="008F6AE3"/>
    <w:rsid w:val="00901054"/>
    <w:rsid w:val="00901279"/>
    <w:rsid w:val="009027A0"/>
    <w:rsid w:val="00911CE2"/>
    <w:rsid w:val="00920784"/>
    <w:rsid w:val="00930E07"/>
    <w:rsid w:val="00941C02"/>
    <w:rsid w:val="00952687"/>
    <w:rsid w:val="00955FC0"/>
    <w:rsid w:val="00962908"/>
    <w:rsid w:val="00982B81"/>
    <w:rsid w:val="00995539"/>
    <w:rsid w:val="009B5D9F"/>
    <w:rsid w:val="009D0CCA"/>
    <w:rsid w:val="009E6381"/>
    <w:rsid w:val="009F6A01"/>
    <w:rsid w:val="00A02D40"/>
    <w:rsid w:val="00A04897"/>
    <w:rsid w:val="00A131C5"/>
    <w:rsid w:val="00A136E9"/>
    <w:rsid w:val="00A26348"/>
    <w:rsid w:val="00A479AC"/>
    <w:rsid w:val="00A75E56"/>
    <w:rsid w:val="00A84FA5"/>
    <w:rsid w:val="00A93897"/>
    <w:rsid w:val="00AA3FC8"/>
    <w:rsid w:val="00AB53DE"/>
    <w:rsid w:val="00AC08A3"/>
    <w:rsid w:val="00AC4BFD"/>
    <w:rsid w:val="00AC6A63"/>
    <w:rsid w:val="00AC7305"/>
    <w:rsid w:val="00B11177"/>
    <w:rsid w:val="00B138A3"/>
    <w:rsid w:val="00B13B92"/>
    <w:rsid w:val="00B158AA"/>
    <w:rsid w:val="00B21795"/>
    <w:rsid w:val="00B2686D"/>
    <w:rsid w:val="00B3023E"/>
    <w:rsid w:val="00B30B8A"/>
    <w:rsid w:val="00B506BF"/>
    <w:rsid w:val="00B62269"/>
    <w:rsid w:val="00B6536C"/>
    <w:rsid w:val="00B65577"/>
    <w:rsid w:val="00B668A7"/>
    <w:rsid w:val="00B949CB"/>
    <w:rsid w:val="00B96A1A"/>
    <w:rsid w:val="00BA07F1"/>
    <w:rsid w:val="00BA1D19"/>
    <w:rsid w:val="00BB2B0E"/>
    <w:rsid w:val="00BD1CB3"/>
    <w:rsid w:val="00BD3443"/>
    <w:rsid w:val="00C13574"/>
    <w:rsid w:val="00C32E35"/>
    <w:rsid w:val="00C52B7C"/>
    <w:rsid w:val="00C53DB0"/>
    <w:rsid w:val="00C540CB"/>
    <w:rsid w:val="00C66761"/>
    <w:rsid w:val="00C855E5"/>
    <w:rsid w:val="00CA5D88"/>
    <w:rsid w:val="00CD071C"/>
    <w:rsid w:val="00CD4356"/>
    <w:rsid w:val="00CE2D64"/>
    <w:rsid w:val="00CE67F9"/>
    <w:rsid w:val="00CF2C39"/>
    <w:rsid w:val="00D027D1"/>
    <w:rsid w:val="00D05EB0"/>
    <w:rsid w:val="00D2181B"/>
    <w:rsid w:val="00D277A6"/>
    <w:rsid w:val="00D3051B"/>
    <w:rsid w:val="00D35915"/>
    <w:rsid w:val="00D36A8D"/>
    <w:rsid w:val="00D43067"/>
    <w:rsid w:val="00D46F5B"/>
    <w:rsid w:val="00D5054B"/>
    <w:rsid w:val="00D53024"/>
    <w:rsid w:val="00D53FA1"/>
    <w:rsid w:val="00D66430"/>
    <w:rsid w:val="00D67650"/>
    <w:rsid w:val="00D6776D"/>
    <w:rsid w:val="00D7380A"/>
    <w:rsid w:val="00D73FF9"/>
    <w:rsid w:val="00D815CB"/>
    <w:rsid w:val="00D915C3"/>
    <w:rsid w:val="00DC5C87"/>
    <w:rsid w:val="00DC7731"/>
    <w:rsid w:val="00DD1B82"/>
    <w:rsid w:val="00DD6999"/>
    <w:rsid w:val="00DE50B8"/>
    <w:rsid w:val="00DE67E5"/>
    <w:rsid w:val="00E00F06"/>
    <w:rsid w:val="00E01023"/>
    <w:rsid w:val="00E0281F"/>
    <w:rsid w:val="00E04BD8"/>
    <w:rsid w:val="00E1476A"/>
    <w:rsid w:val="00E218C5"/>
    <w:rsid w:val="00E26D4A"/>
    <w:rsid w:val="00E43E93"/>
    <w:rsid w:val="00E532F8"/>
    <w:rsid w:val="00E54FED"/>
    <w:rsid w:val="00E57298"/>
    <w:rsid w:val="00E63446"/>
    <w:rsid w:val="00E75A92"/>
    <w:rsid w:val="00E9053F"/>
    <w:rsid w:val="00E949F3"/>
    <w:rsid w:val="00E95970"/>
    <w:rsid w:val="00EB5083"/>
    <w:rsid w:val="00EB5E18"/>
    <w:rsid w:val="00ED1B99"/>
    <w:rsid w:val="00ED432E"/>
    <w:rsid w:val="00ED622A"/>
    <w:rsid w:val="00EE6BCC"/>
    <w:rsid w:val="00EF020F"/>
    <w:rsid w:val="00EF3158"/>
    <w:rsid w:val="00F01997"/>
    <w:rsid w:val="00F07210"/>
    <w:rsid w:val="00F1134B"/>
    <w:rsid w:val="00F3715C"/>
    <w:rsid w:val="00F67771"/>
    <w:rsid w:val="00FA60F7"/>
    <w:rsid w:val="00FB6113"/>
    <w:rsid w:val="00FB7F19"/>
    <w:rsid w:val="00FC0EA5"/>
    <w:rsid w:val="00FD16F0"/>
    <w:rsid w:val="00FD315C"/>
    <w:rsid w:val="00FD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3"/>
      <w:szCs w:val="23"/>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TrebuchetMS75pt0pt">
    <w:name w:val="Основной текст + Trebuchet MS;7;5 pt;Интервал 0 pt"/>
    <w:basedOn w:val="a6"/>
    <w:rPr>
      <w:rFonts w:ascii="Trebuchet MS" w:eastAsia="Trebuchet MS" w:hAnsi="Trebuchet MS" w:cs="Trebuchet MS"/>
      <w:b w:val="0"/>
      <w:bCs w:val="0"/>
      <w:i w:val="0"/>
      <w:iCs w:val="0"/>
      <w:smallCaps w:val="0"/>
      <w:strike w:val="0"/>
      <w:color w:val="000000"/>
      <w:spacing w:val="-10"/>
      <w:w w:val="100"/>
      <w:position w:val="0"/>
      <w:sz w:val="15"/>
      <w:szCs w:val="15"/>
      <w:u w:val="none"/>
      <w:lang w:val="uk-UA" w:eastAsia="uk-UA" w:bidi="uk-UA"/>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3"/>
      <w:szCs w:val="23"/>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eastAsia="uk-UA" w:bidi="uk-UA"/>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42">
    <w:name w:val="Основной текст (4)"/>
    <w:basedOn w:val="40"/>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43">
    <w:name w:val="Основной текст (4) + Не курсив"/>
    <w:basedOn w:val="40"/>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4TrebuchetMS75pt0pt">
    <w:name w:val="Основной текст (4) + Trebuchet MS;7;5 pt;Не курсив;Интервал 0 pt"/>
    <w:basedOn w:val="40"/>
    <w:rPr>
      <w:rFonts w:ascii="Trebuchet MS" w:eastAsia="Trebuchet MS" w:hAnsi="Trebuchet MS" w:cs="Trebuchet MS"/>
      <w:b w:val="0"/>
      <w:bCs w:val="0"/>
      <w:i/>
      <w:iCs/>
      <w:smallCaps w:val="0"/>
      <w:strike w:val="0"/>
      <w:color w:val="000000"/>
      <w:spacing w:val="-10"/>
      <w:w w:val="100"/>
      <w:position w:val="0"/>
      <w:sz w:val="15"/>
      <w:szCs w:val="15"/>
      <w:u w:val="none"/>
      <w:lang w:val="uk-UA" w:eastAsia="uk-UA" w:bidi="uk-UA"/>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a">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4TrebuchetMS75pt0pt0">
    <w:name w:val="Основной текст (4) + Trebuchet MS;7;5 pt;Не курсив;Интервал 0 pt"/>
    <w:basedOn w:val="40"/>
    <w:rPr>
      <w:rFonts w:ascii="Trebuchet MS" w:eastAsia="Trebuchet MS" w:hAnsi="Trebuchet MS" w:cs="Trebuchet MS"/>
      <w:b w:val="0"/>
      <w:bCs w:val="0"/>
      <w:i/>
      <w:iCs/>
      <w:smallCaps w:val="0"/>
      <w:strike w:val="0"/>
      <w:color w:val="000000"/>
      <w:spacing w:val="-10"/>
      <w:w w:val="100"/>
      <w:position w:val="0"/>
      <w:sz w:val="15"/>
      <w:szCs w:val="15"/>
      <w:u w:val="single"/>
      <w:lang w:val="uk-UA" w:eastAsia="uk-UA" w:bidi="uk-UA"/>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uk-UA" w:eastAsia="uk-UA" w:bidi="uk-UA"/>
    </w:rPr>
  </w:style>
  <w:style w:type="character" w:customStyle="1" w:styleId="105pt">
    <w:name w:val="Основной текст + 10;5 pt;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FranklinGothicMediumCond">
    <w:name w:val="Основной текст + Franklin Gothic Medium Cond;Курсив"/>
    <w:basedOn w:val="a6"/>
    <w:rPr>
      <w:rFonts w:ascii="Franklin Gothic Medium Cond" w:eastAsia="Franklin Gothic Medium Cond" w:hAnsi="Franklin Gothic Medium Cond" w:cs="Franklin Gothic Medium Cond"/>
      <w:b w:val="0"/>
      <w:bCs w:val="0"/>
      <w:i/>
      <w:iCs/>
      <w:smallCaps w:val="0"/>
      <w:strike w:val="0"/>
      <w:color w:val="000000"/>
      <w:spacing w:val="0"/>
      <w:w w:val="100"/>
      <w:position w:val="0"/>
      <w:sz w:val="23"/>
      <w:szCs w:val="23"/>
      <w:u w:val="none"/>
      <w:lang w:val="uk-UA" w:eastAsia="uk-UA" w:bidi="uk-UA"/>
    </w:rPr>
  </w:style>
  <w:style w:type="character" w:customStyle="1" w:styleId="TrebuchetMS8pt">
    <w:name w:val="Основной текст + Trebuchet MS;8 pt"/>
    <w:basedOn w:val="a6"/>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45pt">
    <w:name w:val="Основной текст + 4;5 pt"/>
    <w:basedOn w:val="a6"/>
    <w:rPr>
      <w:rFonts w:ascii="Times New Roman" w:eastAsia="Times New Roman" w:hAnsi="Times New Roman" w:cs="Times New Roman"/>
      <w:b w:val="0"/>
      <w:bCs w:val="0"/>
      <w:i w:val="0"/>
      <w:iCs w:val="0"/>
      <w:smallCaps w:val="0"/>
      <w:strike w:val="0"/>
      <w:color w:val="000000"/>
      <w:spacing w:val="0"/>
      <w:w w:val="100"/>
      <w:position w:val="0"/>
      <w:sz w:val="9"/>
      <w:szCs w:val="9"/>
      <w:u w:val="none"/>
      <w:lang w:val="uk-UA" w:eastAsia="uk-UA" w:bidi="uk-UA"/>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FranklinGothicBook7pt">
    <w:name w:val="Основной текст + Franklin Gothic Book;7 pt"/>
    <w:basedOn w:val="a6"/>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uk-UA" w:eastAsia="uk-UA" w:bidi="uk-UA"/>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2">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TrebuchetMS10pt1pt">
    <w:name w:val="Основной текст (2) + Trebuchet MS;10 pt;Курсив;Интервал 1 pt"/>
    <w:basedOn w:val="2"/>
    <w:rPr>
      <w:rFonts w:ascii="Trebuchet MS" w:eastAsia="Trebuchet MS" w:hAnsi="Trebuchet MS" w:cs="Trebuchet MS"/>
      <w:b/>
      <w:bCs/>
      <w:i/>
      <w:iCs/>
      <w:smallCaps w:val="0"/>
      <w:strike w:val="0"/>
      <w:color w:val="000000"/>
      <w:spacing w:val="20"/>
      <w:w w:val="100"/>
      <w:position w:val="0"/>
      <w:sz w:val="20"/>
      <w:szCs w:val="20"/>
      <w:u w:val="none"/>
      <w:lang w:val="uk-UA" w:eastAsia="uk-UA" w:bidi="uk-UA"/>
    </w:rPr>
  </w:style>
  <w:style w:type="character" w:customStyle="1" w:styleId="2TrebuchetMS10pt">
    <w:name w:val="Основной текст (2) + Trebuchet MS;10 pt;Курсив"/>
    <w:basedOn w:val="2"/>
    <w:rPr>
      <w:rFonts w:ascii="Trebuchet MS" w:eastAsia="Trebuchet MS" w:hAnsi="Trebuchet MS" w:cs="Trebuchet MS"/>
      <w:b/>
      <w:bCs/>
      <w:i/>
      <w:iCs/>
      <w:smallCaps w:val="0"/>
      <w:strike w:val="0"/>
      <w:color w:val="000000"/>
      <w:spacing w:val="0"/>
      <w:w w:val="100"/>
      <w:position w:val="0"/>
      <w:sz w:val="20"/>
      <w:szCs w:val="20"/>
      <w:u w:val="none"/>
      <w:lang w:val="uk-UA" w:eastAsia="uk-UA" w:bidi="uk-UA"/>
    </w:rPr>
  </w:style>
  <w:style w:type="character" w:customStyle="1" w:styleId="2TrebuchetMS150">
    <w:name w:val="Основной текст (2) + Trebuchet MS;Не полужирный;Курсив;Масштаб 150%"/>
    <w:basedOn w:val="2"/>
    <w:rPr>
      <w:rFonts w:ascii="Trebuchet MS" w:eastAsia="Trebuchet MS" w:hAnsi="Trebuchet MS" w:cs="Trebuchet MS"/>
      <w:b/>
      <w:bCs/>
      <w:i/>
      <w:iCs/>
      <w:smallCaps w:val="0"/>
      <w:strike w:val="0"/>
      <w:color w:val="000000"/>
      <w:spacing w:val="0"/>
      <w:w w:val="150"/>
      <w:position w:val="0"/>
      <w:sz w:val="23"/>
      <w:szCs w:val="23"/>
      <w:u w:val="none"/>
      <w:lang w:val="uk-UA" w:eastAsia="uk-UA" w:bidi="uk-UA"/>
    </w:rPr>
  </w:style>
  <w:style w:type="character" w:customStyle="1" w:styleId="21pt">
    <w:name w:val="Основной текст (2) + Не полужирный;Курсив;Интервал 1 pt"/>
    <w:basedOn w:val="2"/>
    <w:rPr>
      <w:rFonts w:ascii="Times New Roman" w:eastAsia="Times New Roman" w:hAnsi="Times New Roman" w:cs="Times New Roman"/>
      <w:b/>
      <w:bCs/>
      <w:i/>
      <w:iCs/>
      <w:smallCaps w:val="0"/>
      <w:strike w:val="0"/>
      <w:color w:val="000000"/>
      <w:spacing w:val="20"/>
      <w:w w:val="100"/>
      <w:position w:val="0"/>
      <w:sz w:val="23"/>
      <w:szCs w:val="23"/>
      <w:u w:val="none"/>
      <w:lang w:val="uk-UA" w:eastAsia="uk-UA" w:bidi="uk-UA"/>
    </w:rPr>
  </w:style>
  <w:style w:type="character" w:customStyle="1" w:styleId="2TrebuchetMS10pt0">
    <w:name w:val="Основной текст (2) + Trebuchet MS;10 pt;Курсив"/>
    <w:basedOn w:val="2"/>
    <w:rPr>
      <w:rFonts w:ascii="Trebuchet MS" w:eastAsia="Trebuchet MS" w:hAnsi="Trebuchet MS" w:cs="Trebuchet MS"/>
      <w:b/>
      <w:bCs/>
      <w:i/>
      <w:iCs/>
      <w:smallCaps w:val="0"/>
      <w:strike w:val="0"/>
      <w:color w:val="000000"/>
      <w:spacing w:val="0"/>
      <w:w w:val="100"/>
      <w:position w:val="0"/>
      <w:sz w:val="20"/>
      <w:szCs w:val="20"/>
      <w:u w:val="none"/>
      <w:lang w:val="uk-UA" w:eastAsia="uk-UA" w:bidi="uk-UA"/>
    </w:rPr>
  </w:style>
  <w:style w:type="character" w:customStyle="1" w:styleId="2TrebuchetMS75pt">
    <w:name w:val="Основной текст (2) + Trebuchet MS;7;5 pt;Не полужирный"/>
    <w:basedOn w:val="2"/>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15"/>
      <w:szCs w:val="15"/>
      <w:u w:val="none"/>
    </w:rPr>
  </w:style>
  <w:style w:type="character" w:customStyle="1" w:styleId="51">
    <w:name w:val="Основной текст (5)"/>
    <w:basedOn w:val="5"/>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50pt">
    <w:name w:val="Основной текст (5) + Интервал 0 pt"/>
    <w:basedOn w:val="5"/>
    <w:rPr>
      <w:rFonts w:ascii="Trebuchet MS" w:eastAsia="Trebuchet MS" w:hAnsi="Trebuchet MS" w:cs="Trebuchet MS"/>
      <w:b w:val="0"/>
      <w:bCs w:val="0"/>
      <w:i w:val="0"/>
      <w:iCs w:val="0"/>
      <w:smallCaps w:val="0"/>
      <w:strike w:val="0"/>
      <w:color w:val="000000"/>
      <w:spacing w:val="-10"/>
      <w:w w:val="100"/>
      <w:position w:val="0"/>
      <w:sz w:val="15"/>
      <w:szCs w:val="15"/>
      <w:u w:val="none"/>
      <w:lang w:val="uk-UA" w:eastAsia="uk-UA" w:bidi="uk-UA"/>
    </w:rPr>
  </w:style>
  <w:style w:type="paragraph" w:customStyle="1" w:styleId="a5">
    <w:name w:val="Подпись к картинке"/>
    <w:basedOn w:val="a"/>
    <w:link w:val="a4"/>
    <w:pPr>
      <w:shd w:val="clear" w:color="auto" w:fill="FFFFFF"/>
      <w:spacing w:line="281" w:lineRule="exact"/>
      <w:ind w:firstLine="780"/>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after="240" w:line="277"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60" w:after="360" w:line="0" w:lineRule="atLeast"/>
      <w:jc w:val="center"/>
      <w:outlineLvl w:val="0"/>
    </w:pPr>
    <w:rPr>
      <w:rFonts w:ascii="Times New Roman" w:eastAsia="Times New Roman" w:hAnsi="Times New Roman" w:cs="Times New Roman"/>
      <w:b/>
      <w:bCs/>
      <w:lang w:val="ru-RU" w:eastAsia="ru-RU" w:bidi="ru-RU"/>
    </w:rPr>
  </w:style>
  <w:style w:type="paragraph" w:customStyle="1" w:styleId="30">
    <w:name w:val="Основной текст (3)"/>
    <w:basedOn w:val="a"/>
    <w:link w:val="3"/>
    <w:pPr>
      <w:shd w:val="clear" w:color="auto" w:fill="FFFFFF"/>
      <w:spacing w:before="360" w:line="274" w:lineRule="exact"/>
    </w:pPr>
    <w:rPr>
      <w:rFonts w:ascii="Times New Roman" w:eastAsia="Times New Roman" w:hAnsi="Times New Roman" w:cs="Times New Roman"/>
      <w:b/>
      <w:bCs/>
      <w:i/>
      <w:iCs/>
      <w:sz w:val="23"/>
      <w:szCs w:val="23"/>
    </w:rPr>
  </w:style>
  <w:style w:type="paragraph" w:customStyle="1" w:styleId="4">
    <w:name w:val="Основной текст4"/>
    <w:basedOn w:val="a"/>
    <w:link w:val="a6"/>
    <w:pPr>
      <w:shd w:val="clear" w:color="auto" w:fill="FFFFFF"/>
      <w:spacing w:line="274" w:lineRule="exact"/>
      <w:ind w:hanging="360"/>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line="274" w:lineRule="exact"/>
    </w:pPr>
    <w:rPr>
      <w:rFonts w:ascii="Times New Roman" w:eastAsia="Times New Roman" w:hAnsi="Times New Roman" w:cs="Times New Roman"/>
      <w:i/>
      <w:iCs/>
      <w:sz w:val="23"/>
      <w:szCs w:val="23"/>
    </w:rPr>
  </w:style>
  <w:style w:type="paragraph" w:customStyle="1" w:styleId="50">
    <w:name w:val="Основной текст (5)"/>
    <w:basedOn w:val="a"/>
    <w:link w:val="5"/>
    <w:pPr>
      <w:shd w:val="clear" w:color="auto" w:fill="FFFFFF"/>
      <w:spacing w:line="205" w:lineRule="exact"/>
      <w:ind w:firstLine="940"/>
    </w:pPr>
    <w:rPr>
      <w:rFonts w:ascii="Trebuchet MS" w:eastAsia="Trebuchet MS" w:hAnsi="Trebuchet MS" w:cs="Trebuchet MS"/>
      <w:sz w:val="15"/>
      <w:szCs w:val="15"/>
    </w:rPr>
  </w:style>
  <w:style w:type="paragraph" w:styleId="ab">
    <w:name w:val="List Paragraph"/>
    <w:basedOn w:val="a"/>
    <w:uiPriority w:val="34"/>
    <w:qFormat/>
    <w:rsid w:val="00C13574"/>
    <w:pPr>
      <w:ind w:left="720"/>
      <w:contextualSpacing/>
    </w:pPr>
  </w:style>
  <w:style w:type="character" w:customStyle="1" w:styleId="apple-converted-space">
    <w:name w:val="apple-converted-space"/>
    <w:basedOn w:val="a0"/>
    <w:rsid w:val="00D36A8D"/>
  </w:style>
  <w:style w:type="character" w:customStyle="1" w:styleId="33">
    <w:name w:val="Основной текст (3) + Полужирный;Не курсив"/>
    <w:basedOn w:val="3"/>
    <w:rsid w:val="002E6224"/>
    <w:rPr>
      <w:rFonts w:ascii="Arial" w:eastAsia="Arial" w:hAnsi="Arial" w:cs="Arial"/>
      <w:b/>
      <w:bCs/>
      <w:i/>
      <w:iCs/>
      <w:smallCaps w:val="0"/>
      <w:strike w:val="0"/>
      <w:color w:val="000000"/>
      <w:spacing w:val="0"/>
      <w:w w:val="100"/>
      <w:position w:val="0"/>
      <w:sz w:val="14"/>
      <w:szCs w:val="14"/>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3"/>
      <w:szCs w:val="23"/>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TrebuchetMS75pt0pt">
    <w:name w:val="Основной текст + Trebuchet MS;7;5 pt;Интервал 0 pt"/>
    <w:basedOn w:val="a6"/>
    <w:rPr>
      <w:rFonts w:ascii="Trebuchet MS" w:eastAsia="Trebuchet MS" w:hAnsi="Trebuchet MS" w:cs="Trebuchet MS"/>
      <w:b w:val="0"/>
      <w:bCs w:val="0"/>
      <w:i w:val="0"/>
      <w:iCs w:val="0"/>
      <w:smallCaps w:val="0"/>
      <w:strike w:val="0"/>
      <w:color w:val="000000"/>
      <w:spacing w:val="-10"/>
      <w:w w:val="100"/>
      <w:position w:val="0"/>
      <w:sz w:val="15"/>
      <w:szCs w:val="15"/>
      <w:u w:val="none"/>
      <w:lang w:val="uk-UA" w:eastAsia="uk-UA" w:bidi="uk-UA"/>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3"/>
      <w:szCs w:val="23"/>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eastAsia="uk-UA" w:bidi="uk-UA"/>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42">
    <w:name w:val="Основной текст (4)"/>
    <w:basedOn w:val="40"/>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43">
    <w:name w:val="Основной текст (4) + Не курсив"/>
    <w:basedOn w:val="40"/>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4TrebuchetMS75pt0pt">
    <w:name w:val="Основной текст (4) + Trebuchet MS;7;5 pt;Не курсив;Интервал 0 pt"/>
    <w:basedOn w:val="40"/>
    <w:rPr>
      <w:rFonts w:ascii="Trebuchet MS" w:eastAsia="Trebuchet MS" w:hAnsi="Trebuchet MS" w:cs="Trebuchet MS"/>
      <w:b w:val="0"/>
      <w:bCs w:val="0"/>
      <w:i/>
      <w:iCs/>
      <w:smallCaps w:val="0"/>
      <w:strike w:val="0"/>
      <w:color w:val="000000"/>
      <w:spacing w:val="-10"/>
      <w:w w:val="100"/>
      <w:position w:val="0"/>
      <w:sz w:val="15"/>
      <w:szCs w:val="15"/>
      <w:u w:val="none"/>
      <w:lang w:val="uk-UA" w:eastAsia="uk-UA" w:bidi="uk-UA"/>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a">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4TrebuchetMS75pt0pt0">
    <w:name w:val="Основной текст (4) + Trebuchet MS;7;5 pt;Не курсив;Интервал 0 pt"/>
    <w:basedOn w:val="40"/>
    <w:rPr>
      <w:rFonts w:ascii="Trebuchet MS" w:eastAsia="Trebuchet MS" w:hAnsi="Trebuchet MS" w:cs="Trebuchet MS"/>
      <w:b w:val="0"/>
      <w:bCs w:val="0"/>
      <w:i/>
      <w:iCs/>
      <w:smallCaps w:val="0"/>
      <w:strike w:val="0"/>
      <w:color w:val="000000"/>
      <w:spacing w:val="-10"/>
      <w:w w:val="100"/>
      <w:position w:val="0"/>
      <w:sz w:val="15"/>
      <w:szCs w:val="15"/>
      <w:u w:val="single"/>
      <w:lang w:val="uk-UA" w:eastAsia="uk-UA" w:bidi="uk-UA"/>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uk-UA" w:eastAsia="uk-UA" w:bidi="uk-UA"/>
    </w:rPr>
  </w:style>
  <w:style w:type="character" w:customStyle="1" w:styleId="105pt">
    <w:name w:val="Основной текст + 10;5 pt;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FranklinGothicMediumCond">
    <w:name w:val="Основной текст + Franklin Gothic Medium Cond;Курсив"/>
    <w:basedOn w:val="a6"/>
    <w:rPr>
      <w:rFonts w:ascii="Franklin Gothic Medium Cond" w:eastAsia="Franklin Gothic Medium Cond" w:hAnsi="Franklin Gothic Medium Cond" w:cs="Franklin Gothic Medium Cond"/>
      <w:b w:val="0"/>
      <w:bCs w:val="0"/>
      <w:i/>
      <w:iCs/>
      <w:smallCaps w:val="0"/>
      <w:strike w:val="0"/>
      <w:color w:val="000000"/>
      <w:spacing w:val="0"/>
      <w:w w:val="100"/>
      <w:position w:val="0"/>
      <w:sz w:val="23"/>
      <w:szCs w:val="23"/>
      <w:u w:val="none"/>
      <w:lang w:val="uk-UA" w:eastAsia="uk-UA" w:bidi="uk-UA"/>
    </w:rPr>
  </w:style>
  <w:style w:type="character" w:customStyle="1" w:styleId="TrebuchetMS8pt">
    <w:name w:val="Основной текст + Trebuchet MS;8 pt"/>
    <w:basedOn w:val="a6"/>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45pt">
    <w:name w:val="Основной текст + 4;5 pt"/>
    <w:basedOn w:val="a6"/>
    <w:rPr>
      <w:rFonts w:ascii="Times New Roman" w:eastAsia="Times New Roman" w:hAnsi="Times New Roman" w:cs="Times New Roman"/>
      <w:b w:val="0"/>
      <w:bCs w:val="0"/>
      <w:i w:val="0"/>
      <w:iCs w:val="0"/>
      <w:smallCaps w:val="0"/>
      <w:strike w:val="0"/>
      <w:color w:val="000000"/>
      <w:spacing w:val="0"/>
      <w:w w:val="100"/>
      <w:position w:val="0"/>
      <w:sz w:val="9"/>
      <w:szCs w:val="9"/>
      <w:u w:val="none"/>
      <w:lang w:val="uk-UA" w:eastAsia="uk-UA" w:bidi="uk-UA"/>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FranklinGothicBook7pt">
    <w:name w:val="Основной текст + Franklin Gothic Book;7 pt"/>
    <w:basedOn w:val="a6"/>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uk-UA" w:eastAsia="uk-UA" w:bidi="uk-UA"/>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2">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TrebuchetMS10pt1pt">
    <w:name w:val="Основной текст (2) + Trebuchet MS;10 pt;Курсив;Интервал 1 pt"/>
    <w:basedOn w:val="2"/>
    <w:rPr>
      <w:rFonts w:ascii="Trebuchet MS" w:eastAsia="Trebuchet MS" w:hAnsi="Trebuchet MS" w:cs="Trebuchet MS"/>
      <w:b/>
      <w:bCs/>
      <w:i/>
      <w:iCs/>
      <w:smallCaps w:val="0"/>
      <w:strike w:val="0"/>
      <w:color w:val="000000"/>
      <w:spacing w:val="20"/>
      <w:w w:val="100"/>
      <w:position w:val="0"/>
      <w:sz w:val="20"/>
      <w:szCs w:val="20"/>
      <w:u w:val="none"/>
      <w:lang w:val="uk-UA" w:eastAsia="uk-UA" w:bidi="uk-UA"/>
    </w:rPr>
  </w:style>
  <w:style w:type="character" w:customStyle="1" w:styleId="2TrebuchetMS10pt">
    <w:name w:val="Основной текст (2) + Trebuchet MS;10 pt;Курсив"/>
    <w:basedOn w:val="2"/>
    <w:rPr>
      <w:rFonts w:ascii="Trebuchet MS" w:eastAsia="Trebuchet MS" w:hAnsi="Trebuchet MS" w:cs="Trebuchet MS"/>
      <w:b/>
      <w:bCs/>
      <w:i/>
      <w:iCs/>
      <w:smallCaps w:val="0"/>
      <w:strike w:val="0"/>
      <w:color w:val="000000"/>
      <w:spacing w:val="0"/>
      <w:w w:val="100"/>
      <w:position w:val="0"/>
      <w:sz w:val="20"/>
      <w:szCs w:val="20"/>
      <w:u w:val="none"/>
      <w:lang w:val="uk-UA" w:eastAsia="uk-UA" w:bidi="uk-UA"/>
    </w:rPr>
  </w:style>
  <w:style w:type="character" w:customStyle="1" w:styleId="2TrebuchetMS150">
    <w:name w:val="Основной текст (2) + Trebuchet MS;Не полужирный;Курсив;Масштаб 150%"/>
    <w:basedOn w:val="2"/>
    <w:rPr>
      <w:rFonts w:ascii="Trebuchet MS" w:eastAsia="Trebuchet MS" w:hAnsi="Trebuchet MS" w:cs="Trebuchet MS"/>
      <w:b/>
      <w:bCs/>
      <w:i/>
      <w:iCs/>
      <w:smallCaps w:val="0"/>
      <w:strike w:val="0"/>
      <w:color w:val="000000"/>
      <w:spacing w:val="0"/>
      <w:w w:val="150"/>
      <w:position w:val="0"/>
      <w:sz w:val="23"/>
      <w:szCs w:val="23"/>
      <w:u w:val="none"/>
      <w:lang w:val="uk-UA" w:eastAsia="uk-UA" w:bidi="uk-UA"/>
    </w:rPr>
  </w:style>
  <w:style w:type="character" w:customStyle="1" w:styleId="21pt">
    <w:name w:val="Основной текст (2) + Не полужирный;Курсив;Интервал 1 pt"/>
    <w:basedOn w:val="2"/>
    <w:rPr>
      <w:rFonts w:ascii="Times New Roman" w:eastAsia="Times New Roman" w:hAnsi="Times New Roman" w:cs="Times New Roman"/>
      <w:b/>
      <w:bCs/>
      <w:i/>
      <w:iCs/>
      <w:smallCaps w:val="0"/>
      <w:strike w:val="0"/>
      <w:color w:val="000000"/>
      <w:spacing w:val="20"/>
      <w:w w:val="100"/>
      <w:position w:val="0"/>
      <w:sz w:val="23"/>
      <w:szCs w:val="23"/>
      <w:u w:val="none"/>
      <w:lang w:val="uk-UA" w:eastAsia="uk-UA" w:bidi="uk-UA"/>
    </w:rPr>
  </w:style>
  <w:style w:type="character" w:customStyle="1" w:styleId="2TrebuchetMS10pt0">
    <w:name w:val="Основной текст (2) + Trebuchet MS;10 pt;Курсив"/>
    <w:basedOn w:val="2"/>
    <w:rPr>
      <w:rFonts w:ascii="Trebuchet MS" w:eastAsia="Trebuchet MS" w:hAnsi="Trebuchet MS" w:cs="Trebuchet MS"/>
      <w:b/>
      <w:bCs/>
      <w:i/>
      <w:iCs/>
      <w:smallCaps w:val="0"/>
      <w:strike w:val="0"/>
      <w:color w:val="000000"/>
      <w:spacing w:val="0"/>
      <w:w w:val="100"/>
      <w:position w:val="0"/>
      <w:sz w:val="20"/>
      <w:szCs w:val="20"/>
      <w:u w:val="none"/>
      <w:lang w:val="uk-UA" w:eastAsia="uk-UA" w:bidi="uk-UA"/>
    </w:rPr>
  </w:style>
  <w:style w:type="character" w:customStyle="1" w:styleId="2TrebuchetMS75pt">
    <w:name w:val="Основной текст (2) + Trebuchet MS;7;5 pt;Не полужирный"/>
    <w:basedOn w:val="2"/>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15"/>
      <w:szCs w:val="15"/>
      <w:u w:val="none"/>
    </w:rPr>
  </w:style>
  <w:style w:type="character" w:customStyle="1" w:styleId="51">
    <w:name w:val="Основной текст (5)"/>
    <w:basedOn w:val="5"/>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50pt">
    <w:name w:val="Основной текст (5) + Интервал 0 pt"/>
    <w:basedOn w:val="5"/>
    <w:rPr>
      <w:rFonts w:ascii="Trebuchet MS" w:eastAsia="Trebuchet MS" w:hAnsi="Trebuchet MS" w:cs="Trebuchet MS"/>
      <w:b w:val="0"/>
      <w:bCs w:val="0"/>
      <w:i w:val="0"/>
      <w:iCs w:val="0"/>
      <w:smallCaps w:val="0"/>
      <w:strike w:val="0"/>
      <w:color w:val="000000"/>
      <w:spacing w:val="-10"/>
      <w:w w:val="100"/>
      <w:position w:val="0"/>
      <w:sz w:val="15"/>
      <w:szCs w:val="15"/>
      <w:u w:val="none"/>
      <w:lang w:val="uk-UA" w:eastAsia="uk-UA" w:bidi="uk-UA"/>
    </w:rPr>
  </w:style>
  <w:style w:type="paragraph" w:customStyle="1" w:styleId="a5">
    <w:name w:val="Подпись к картинке"/>
    <w:basedOn w:val="a"/>
    <w:link w:val="a4"/>
    <w:pPr>
      <w:shd w:val="clear" w:color="auto" w:fill="FFFFFF"/>
      <w:spacing w:line="281" w:lineRule="exact"/>
      <w:ind w:firstLine="780"/>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after="240" w:line="277"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60" w:after="360" w:line="0" w:lineRule="atLeast"/>
      <w:jc w:val="center"/>
      <w:outlineLvl w:val="0"/>
    </w:pPr>
    <w:rPr>
      <w:rFonts w:ascii="Times New Roman" w:eastAsia="Times New Roman" w:hAnsi="Times New Roman" w:cs="Times New Roman"/>
      <w:b/>
      <w:bCs/>
      <w:lang w:val="ru-RU" w:eastAsia="ru-RU" w:bidi="ru-RU"/>
    </w:rPr>
  </w:style>
  <w:style w:type="paragraph" w:customStyle="1" w:styleId="30">
    <w:name w:val="Основной текст (3)"/>
    <w:basedOn w:val="a"/>
    <w:link w:val="3"/>
    <w:pPr>
      <w:shd w:val="clear" w:color="auto" w:fill="FFFFFF"/>
      <w:spacing w:before="360" w:line="274" w:lineRule="exact"/>
    </w:pPr>
    <w:rPr>
      <w:rFonts w:ascii="Times New Roman" w:eastAsia="Times New Roman" w:hAnsi="Times New Roman" w:cs="Times New Roman"/>
      <w:b/>
      <w:bCs/>
      <w:i/>
      <w:iCs/>
      <w:sz w:val="23"/>
      <w:szCs w:val="23"/>
    </w:rPr>
  </w:style>
  <w:style w:type="paragraph" w:customStyle="1" w:styleId="4">
    <w:name w:val="Основной текст4"/>
    <w:basedOn w:val="a"/>
    <w:link w:val="a6"/>
    <w:pPr>
      <w:shd w:val="clear" w:color="auto" w:fill="FFFFFF"/>
      <w:spacing w:line="274" w:lineRule="exact"/>
      <w:ind w:hanging="360"/>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line="274" w:lineRule="exact"/>
    </w:pPr>
    <w:rPr>
      <w:rFonts w:ascii="Times New Roman" w:eastAsia="Times New Roman" w:hAnsi="Times New Roman" w:cs="Times New Roman"/>
      <w:i/>
      <w:iCs/>
      <w:sz w:val="23"/>
      <w:szCs w:val="23"/>
    </w:rPr>
  </w:style>
  <w:style w:type="paragraph" w:customStyle="1" w:styleId="50">
    <w:name w:val="Основной текст (5)"/>
    <w:basedOn w:val="a"/>
    <w:link w:val="5"/>
    <w:pPr>
      <w:shd w:val="clear" w:color="auto" w:fill="FFFFFF"/>
      <w:spacing w:line="205" w:lineRule="exact"/>
      <w:ind w:firstLine="940"/>
    </w:pPr>
    <w:rPr>
      <w:rFonts w:ascii="Trebuchet MS" w:eastAsia="Trebuchet MS" w:hAnsi="Trebuchet MS" w:cs="Trebuchet MS"/>
      <w:sz w:val="15"/>
      <w:szCs w:val="15"/>
    </w:rPr>
  </w:style>
  <w:style w:type="paragraph" w:styleId="ab">
    <w:name w:val="List Paragraph"/>
    <w:basedOn w:val="a"/>
    <w:uiPriority w:val="34"/>
    <w:qFormat/>
    <w:rsid w:val="00C13574"/>
    <w:pPr>
      <w:ind w:left="720"/>
      <w:contextualSpacing/>
    </w:pPr>
  </w:style>
  <w:style w:type="character" w:customStyle="1" w:styleId="apple-converted-space">
    <w:name w:val="apple-converted-space"/>
    <w:basedOn w:val="a0"/>
    <w:rsid w:val="00D36A8D"/>
  </w:style>
  <w:style w:type="character" w:customStyle="1" w:styleId="33">
    <w:name w:val="Основной текст (3) + Полужирный;Не курсив"/>
    <w:basedOn w:val="3"/>
    <w:rsid w:val="002E6224"/>
    <w:rPr>
      <w:rFonts w:ascii="Arial" w:eastAsia="Arial" w:hAnsi="Arial" w:cs="Arial"/>
      <w:b/>
      <w:bCs/>
      <w:i/>
      <w:iCs/>
      <w:smallCaps w:val="0"/>
      <w:strike w:val="0"/>
      <w:color w:val="000000"/>
      <w:spacing w:val="0"/>
      <w:w w:val="100"/>
      <w:position w:val="0"/>
      <w:sz w:val="14"/>
      <w:szCs w:val="1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7871</Words>
  <Characters>44869</Characters>
  <Application>Microsoft Office Word</Application>
  <DocSecurity>0</DocSecurity>
  <Lines>373</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Natali</cp:lastModifiedBy>
  <cp:revision>5</cp:revision>
  <dcterms:created xsi:type="dcterms:W3CDTF">2017-11-10T19:32:00Z</dcterms:created>
  <dcterms:modified xsi:type="dcterms:W3CDTF">2017-12-01T09:21:00Z</dcterms:modified>
</cp:coreProperties>
</file>