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11" w:rsidRPr="006432B2" w:rsidRDefault="00626811" w:rsidP="006432B2">
      <w:pPr>
        <w:pStyle w:val="Style1"/>
        <w:widowControl/>
        <w:spacing w:line="240" w:lineRule="auto"/>
        <w:ind w:left="5040" w:firstLine="720"/>
        <w:jc w:val="center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APPROVED</w:t>
      </w:r>
    </w:p>
    <w:p w:rsidR="00C05AF1" w:rsidRPr="006432B2" w:rsidRDefault="00626811" w:rsidP="006432B2">
      <w:pPr>
        <w:pStyle w:val="Style1"/>
        <w:widowControl/>
        <w:spacing w:line="240" w:lineRule="auto"/>
        <w:ind w:left="5040" w:firstLine="720"/>
        <w:jc w:val="center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Order of Ministry</w:t>
      </w:r>
    </w:p>
    <w:p w:rsidR="00626E3E" w:rsidRPr="006432B2" w:rsidRDefault="00626811" w:rsidP="006432B2">
      <w:pPr>
        <w:pStyle w:val="Style1"/>
        <w:widowControl/>
        <w:spacing w:line="240" w:lineRule="auto"/>
        <w:ind w:left="5040" w:firstLine="720"/>
        <w:jc w:val="center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of Health of Ukraine</w:t>
      </w:r>
    </w:p>
    <w:p w:rsidR="00626E3E" w:rsidRPr="006432B2" w:rsidRDefault="00C05AF1" w:rsidP="006432B2">
      <w:pPr>
        <w:pStyle w:val="Style2"/>
        <w:widowControl/>
        <w:ind w:left="5040" w:firstLine="720"/>
        <w:jc w:val="center"/>
        <w:rPr>
          <w:b/>
          <w:lang w:val="en-GB"/>
        </w:rPr>
      </w:pPr>
      <w:r w:rsidRPr="006432B2">
        <w:rPr>
          <w:b/>
          <w:lang w:val="en-GB"/>
        </w:rPr>
        <w:t xml:space="preserve">No. 290 </w:t>
      </w:r>
      <w:r w:rsidR="00586174">
        <w:rPr>
          <w:b/>
          <w:lang w:val="en-GB"/>
        </w:rPr>
        <w:t>dated</w:t>
      </w:r>
      <w:r w:rsidR="006808F0">
        <w:rPr>
          <w:b/>
          <w:lang w:val="en-GB"/>
        </w:rPr>
        <w:t xml:space="preserve"> </w:t>
      </w:r>
      <w:r w:rsidRPr="006432B2">
        <w:rPr>
          <w:b/>
          <w:lang w:val="en-GB"/>
        </w:rPr>
        <w:t>29.04.14</w:t>
      </w:r>
    </w:p>
    <w:p w:rsidR="00626E3E" w:rsidRPr="006432B2" w:rsidRDefault="00626811" w:rsidP="006432B2">
      <w:pPr>
        <w:pStyle w:val="Style2"/>
        <w:widowControl/>
        <w:ind w:left="5040" w:firstLine="720"/>
        <w:jc w:val="center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Marketing Authorization</w:t>
      </w:r>
    </w:p>
    <w:p w:rsidR="00976907" w:rsidRPr="006432B2" w:rsidRDefault="00976907" w:rsidP="006432B2">
      <w:pPr>
        <w:pStyle w:val="Style2"/>
        <w:widowControl/>
        <w:ind w:left="5040" w:firstLine="720"/>
        <w:jc w:val="center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UA/0794/01/01</w:t>
      </w:r>
    </w:p>
    <w:p w:rsidR="006432B2" w:rsidRPr="006432B2" w:rsidRDefault="006432B2" w:rsidP="006432B2">
      <w:pPr>
        <w:ind w:left="5954"/>
        <w:jc w:val="center"/>
        <w:rPr>
          <w:rFonts w:eastAsia="Times New Roman"/>
          <w:b/>
          <w:lang w:val="en-GB"/>
        </w:rPr>
      </w:pPr>
    </w:p>
    <w:p w:rsidR="006432B2" w:rsidRPr="006432B2" w:rsidRDefault="006432B2" w:rsidP="006432B2">
      <w:pPr>
        <w:ind w:left="5954"/>
        <w:jc w:val="center"/>
        <w:rPr>
          <w:rFonts w:eastAsia="Times New Roman"/>
          <w:b/>
          <w:noProof/>
          <w:lang w:val="en-GB"/>
        </w:rPr>
      </w:pPr>
      <w:r w:rsidRPr="006432B2">
        <w:rPr>
          <w:rFonts w:eastAsia="Times New Roman"/>
          <w:b/>
          <w:lang w:val="en-GB"/>
        </w:rPr>
        <w:t>AMENDED</w:t>
      </w:r>
    </w:p>
    <w:p w:rsidR="006432B2" w:rsidRPr="006432B2" w:rsidRDefault="006432B2" w:rsidP="006432B2">
      <w:pPr>
        <w:ind w:left="5954"/>
        <w:jc w:val="center"/>
        <w:rPr>
          <w:rFonts w:eastAsia="Times New Roman"/>
          <w:b/>
          <w:noProof/>
          <w:lang w:val="en-GB"/>
        </w:rPr>
      </w:pPr>
      <w:r w:rsidRPr="006432B2">
        <w:rPr>
          <w:rFonts w:eastAsia="Times New Roman"/>
          <w:b/>
          <w:lang w:val="en-GB"/>
        </w:rPr>
        <w:t>Order of the Ministry</w:t>
      </w:r>
    </w:p>
    <w:p w:rsidR="006432B2" w:rsidRPr="006432B2" w:rsidRDefault="006432B2" w:rsidP="006432B2">
      <w:pPr>
        <w:ind w:left="5954"/>
        <w:jc w:val="center"/>
        <w:rPr>
          <w:rFonts w:eastAsia="Times New Roman"/>
          <w:b/>
          <w:noProof/>
          <w:lang w:val="en-GB"/>
        </w:rPr>
      </w:pPr>
      <w:r w:rsidRPr="006432B2">
        <w:rPr>
          <w:rFonts w:eastAsia="Times New Roman"/>
          <w:b/>
          <w:lang w:val="en-GB"/>
        </w:rPr>
        <w:t>of Health of Ukraine</w:t>
      </w:r>
    </w:p>
    <w:p w:rsidR="006432B2" w:rsidRPr="006432B2" w:rsidRDefault="006432B2" w:rsidP="006432B2">
      <w:pPr>
        <w:pStyle w:val="Style2"/>
        <w:widowControl/>
        <w:ind w:left="5040" w:firstLine="720"/>
        <w:jc w:val="center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Fonts w:eastAsia="Times New Roman"/>
          <w:b/>
          <w:lang w:val="en-GB"/>
        </w:rPr>
        <w:t xml:space="preserve">No. 476 </w:t>
      </w:r>
      <w:r w:rsidR="006808F0">
        <w:rPr>
          <w:rFonts w:eastAsia="Times New Roman"/>
          <w:b/>
          <w:lang w:val="en-GB"/>
        </w:rPr>
        <w:t>of</w:t>
      </w:r>
      <w:r w:rsidRPr="006432B2">
        <w:rPr>
          <w:rFonts w:eastAsia="Times New Roman"/>
          <w:b/>
          <w:lang w:val="en-GB"/>
        </w:rPr>
        <w:t xml:space="preserve"> </w:t>
      </w:r>
      <w:r w:rsidRPr="006432B2">
        <w:rPr>
          <w:b/>
          <w:bCs/>
          <w:lang w:val="en-US"/>
        </w:rPr>
        <w:t>27.04.2017</w:t>
      </w:r>
    </w:p>
    <w:p w:rsidR="00626E3E" w:rsidRPr="006432B2" w:rsidRDefault="00626E3E" w:rsidP="00C05AF1">
      <w:pPr>
        <w:pStyle w:val="Style3"/>
        <w:widowControl/>
        <w:spacing w:line="240" w:lineRule="auto"/>
        <w:rPr>
          <w:lang w:val="en-GB"/>
        </w:rPr>
      </w:pPr>
    </w:p>
    <w:p w:rsidR="00626E3E" w:rsidRPr="006432B2" w:rsidRDefault="00626E3E" w:rsidP="00C05AF1">
      <w:pPr>
        <w:pStyle w:val="Style3"/>
        <w:widowControl/>
        <w:spacing w:line="240" w:lineRule="auto"/>
        <w:rPr>
          <w:lang w:val="en-GB"/>
        </w:rPr>
      </w:pPr>
    </w:p>
    <w:p w:rsidR="00626811" w:rsidRPr="006432B2" w:rsidRDefault="00626811" w:rsidP="00C05AF1">
      <w:pPr>
        <w:pStyle w:val="Style3"/>
        <w:widowControl/>
        <w:spacing w:line="240" w:lineRule="auto"/>
        <w:rPr>
          <w:rStyle w:val="FontStyle12"/>
          <w:color w:val="auto"/>
          <w:sz w:val="28"/>
          <w:szCs w:val="24"/>
          <w:lang w:val="en-GB" w:eastAsia="uk-UA"/>
        </w:rPr>
      </w:pPr>
      <w:r w:rsidRPr="006432B2">
        <w:rPr>
          <w:b/>
          <w:sz w:val="28"/>
          <w:lang w:val="en-GB"/>
        </w:rPr>
        <w:t>INSTRUCTION</w:t>
      </w:r>
      <w:r w:rsidR="00626E3E" w:rsidRPr="006432B2">
        <w:rPr>
          <w:rStyle w:val="FontStyle12"/>
          <w:color w:val="auto"/>
          <w:sz w:val="28"/>
          <w:szCs w:val="24"/>
          <w:lang w:val="en-GB" w:eastAsia="uk-UA"/>
        </w:rPr>
        <w:t xml:space="preserve"> </w:t>
      </w:r>
    </w:p>
    <w:p w:rsidR="00626E3E" w:rsidRPr="006432B2" w:rsidRDefault="00626811" w:rsidP="00C05AF1">
      <w:pPr>
        <w:pStyle w:val="Style3"/>
        <w:widowControl/>
        <w:spacing w:line="240" w:lineRule="auto"/>
        <w:rPr>
          <w:rStyle w:val="FontStyle12"/>
          <w:color w:val="auto"/>
          <w:sz w:val="28"/>
          <w:szCs w:val="24"/>
          <w:lang w:val="en-GB" w:eastAsia="uk-UA"/>
        </w:rPr>
      </w:pPr>
      <w:r w:rsidRPr="006432B2">
        <w:rPr>
          <w:rStyle w:val="FontStyle12"/>
          <w:color w:val="auto"/>
          <w:sz w:val="28"/>
          <w:szCs w:val="24"/>
          <w:lang w:val="en-GB" w:eastAsia="uk-UA"/>
        </w:rPr>
        <w:t>for medical use of medicinal product</w:t>
      </w:r>
    </w:p>
    <w:p w:rsidR="00626E3E" w:rsidRPr="006432B2" w:rsidRDefault="00626E3E" w:rsidP="00C05AF1">
      <w:pPr>
        <w:pStyle w:val="Style4"/>
        <w:widowControl/>
        <w:spacing w:line="240" w:lineRule="auto"/>
        <w:rPr>
          <w:sz w:val="28"/>
          <w:lang w:val="en-GB"/>
        </w:rPr>
      </w:pPr>
    </w:p>
    <w:p w:rsidR="00275EC8" w:rsidRPr="006432B2" w:rsidRDefault="00626811" w:rsidP="00976907">
      <w:pPr>
        <w:pStyle w:val="Style4"/>
        <w:widowControl/>
        <w:spacing w:line="240" w:lineRule="auto"/>
        <w:jc w:val="center"/>
        <w:rPr>
          <w:rStyle w:val="FontStyle12"/>
          <w:color w:val="auto"/>
          <w:sz w:val="28"/>
          <w:szCs w:val="24"/>
          <w:lang w:val="en-GB" w:eastAsia="uk-UA"/>
        </w:rPr>
      </w:pPr>
      <w:r w:rsidRPr="006432B2">
        <w:rPr>
          <w:b/>
          <w:caps/>
          <w:sz w:val="28"/>
          <w:lang w:val="en-GB"/>
        </w:rPr>
        <w:t>Dialipon</w:t>
      </w:r>
      <w:r w:rsidRPr="006432B2">
        <w:rPr>
          <w:b/>
          <w:sz w:val="28"/>
          <w:vertAlign w:val="superscript"/>
          <w:lang w:val="en-GB"/>
        </w:rPr>
        <w:t>®</w:t>
      </w:r>
    </w:p>
    <w:p w:rsidR="00626E3E" w:rsidRPr="006432B2" w:rsidRDefault="00626E3E" w:rsidP="00C05AF1">
      <w:pPr>
        <w:pStyle w:val="Style5"/>
        <w:widowControl/>
        <w:jc w:val="left"/>
        <w:rPr>
          <w:lang w:val="en-GB"/>
        </w:rPr>
      </w:pPr>
    </w:p>
    <w:p w:rsidR="00626E3E" w:rsidRPr="006432B2" w:rsidRDefault="00626811" w:rsidP="00C05AF1">
      <w:pPr>
        <w:pStyle w:val="Style5"/>
        <w:widowControl/>
        <w:jc w:val="left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Composition:</w:t>
      </w:r>
    </w:p>
    <w:p w:rsidR="00626E3E" w:rsidRPr="006432B2" w:rsidRDefault="00976907" w:rsidP="00C05AF1">
      <w:pPr>
        <w:pStyle w:val="Style6"/>
        <w:widowControl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A</w:t>
      </w:r>
      <w:r w:rsidR="00626811" w:rsidRPr="006432B2">
        <w:rPr>
          <w:rStyle w:val="FontStyle15"/>
          <w:color w:val="auto"/>
          <w:sz w:val="24"/>
          <w:szCs w:val="24"/>
          <w:lang w:val="en-GB" w:eastAsia="uk-UA"/>
        </w:rPr>
        <w:t>ctive</w:t>
      </w:r>
      <w:r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="00626811" w:rsidRPr="006432B2">
        <w:rPr>
          <w:rStyle w:val="FontStyle15"/>
          <w:color w:val="auto"/>
          <w:sz w:val="24"/>
          <w:szCs w:val="24"/>
          <w:lang w:val="en-GB" w:eastAsia="uk-UA"/>
        </w:rPr>
        <w:t>ingredient:</w:t>
      </w:r>
      <w:r w:rsidR="00626E3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="00626811" w:rsidRPr="006432B2">
        <w:rPr>
          <w:rStyle w:val="FontStyle13"/>
          <w:color w:val="auto"/>
          <w:sz w:val="24"/>
          <w:szCs w:val="24"/>
          <w:lang w:val="en-GB" w:eastAsia="uk-UA"/>
        </w:rPr>
        <w:t>thioctic acid;</w:t>
      </w:r>
    </w:p>
    <w:p w:rsidR="00626E3E" w:rsidRPr="006432B2" w:rsidRDefault="00626811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Each </w:t>
      </w:r>
      <w:r w:rsidR="00A15068" w:rsidRPr="006432B2">
        <w:rPr>
          <w:rStyle w:val="FontStyle13"/>
          <w:color w:val="auto"/>
          <w:sz w:val="24"/>
          <w:szCs w:val="24"/>
          <w:lang w:val="en-GB" w:eastAsia="uk-UA"/>
        </w:rPr>
        <w:t>mL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of solution contains </w:t>
      </w:r>
      <w:r w:rsidRPr="006432B2">
        <w:rPr>
          <w:lang w:val="en-GB"/>
        </w:rPr>
        <w:t>alpha-lipoic acid meglumine salt 58.382 mg equivalent to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lang w:val="en-GB"/>
        </w:rPr>
        <w:t>alpha-lipoic acid 30 mg on a 100% substance</w:t>
      </w:r>
      <w:r w:rsidR="00586174">
        <w:rPr>
          <w:lang w:val="en-GB"/>
        </w:rPr>
        <w:t xml:space="preserve"> basis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;</w:t>
      </w:r>
    </w:p>
    <w:p w:rsidR="00626E3E" w:rsidRPr="006432B2" w:rsidRDefault="00626811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Excipients:</w:t>
      </w:r>
      <w:r w:rsidR="00626E3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="006432B2" w:rsidRPr="006432B2">
        <w:rPr>
          <w:lang w:val="en-GB"/>
        </w:rPr>
        <w:t>meglumine</w:t>
      </w:r>
      <w:r w:rsidRPr="006432B2">
        <w:rPr>
          <w:lang w:val="en-GB"/>
        </w:rPr>
        <w:t xml:space="preserve"> (</w:t>
      </w:r>
      <w:r w:rsidR="006432B2" w:rsidRPr="006432B2">
        <w:rPr>
          <w:lang w:val="en-GB"/>
        </w:rPr>
        <w:t>N-methylglucamine</w:t>
      </w:r>
      <w:r w:rsidRPr="006432B2">
        <w:rPr>
          <w:lang w:val="en-GB"/>
        </w:rPr>
        <w:t>), polyethylene glycol 300 (Macrogol 300), water for injections.</w:t>
      </w:r>
    </w:p>
    <w:p w:rsidR="00626E3E" w:rsidRPr="006432B2" w:rsidRDefault="00626E3E" w:rsidP="00C05AF1">
      <w:pPr>
        <w:pStyle w:val="Style7"/>
        <w:widowControl/>
        <w:spacing w:line="240" w:lineRule="auto"/>
        <w:jc w:val="left"/>
        <w:rPr>
          <w:lang w:val="en-GB"/>
        </w:rPr>
      </w:pPr>
    </w:p>
    <w:p w:rsidR="006432B2" w:rsidRPr="006432B2" w:rsidRDefault="00626811" w:rsidP="00C05AF1">
      <w:pPr>
        <w:pStyle w:val="Style7"/>
        <w:widowControl/>
        <w:spacing w:line="240" w:lineRule="auto"/>
        <w:jc w:val="left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Pharmaceutical form</w:t>
      </w:r>
    </w:p>
    <w:p w:rsidR="00626E3E" w:rsidRPr="006432B2" w:rsidRDefault="00626811" w:rsidP="00C05AF1">
      <w:pPr>
        <w:pStyle w:val="Style7"/>
        <w:widowControl/>
        <w:spacing w:line="240" w:lineRule="auto"/>
        <w:jc w:val="left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shd w:val="clear" w:color="auto" w:fill="FFFFFF"/>
          <w:lang w:val="en-GB"/>
        </w:rPr>
        <w:t>Solution for infusions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.</w:t>
      </w:r>
    </w:p>
    <w:p w:rsidR="00626E3E" w:rsidRPr="006432B2" w:rsidRDefault="00626811" w:rsidP="00C05AF1">
      <w:pPr>
        <w:pStyle w:val="Style6"/>
        <w:widowControl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Basic physical and chemical properties:</w:t>
      </w:r>
      <w:r w:rsidR="00626E3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bCs/>
          <w:lang w:val="en-GB" w:eastAsia="uk-UA"/>
        </w:rPr>
        <w:t>clear, yellow liquid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.</w:t>
      </w:r>
    </w:p>
    <w:p w:rsidR="00626E3E" w:rsidRPr="006432B2" w:rsidRDefault="00626E3E" w:rsidP="00C05AF1">
      <w:pPr>
        <w:pStyle w:val="Style7"/>
        <w:widowControl/>
        <w:spacing w:line="240" w:lineRule="auto"/>
        <w:rPr>
          <w:lang w:val="en-GB"/>
        </w:rPr>
      </w:pPr>
    </w:p>
    <w:p w:rsidR="006432B2" w:rsidRPr="006432B2" w:rsidRDefault="00626811" w:rsidP="00C05AF1">
      <w:pPr>
        <w:pStyle w:val="Style7"/>
        <w:widowControl/>
        <w:spacing w:line="240" w:lineRule="auto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Pharmacotherapeutic group</w:t>
      </w:r>
    </w:p>
    <w:p w:rsidR="00626E3E" w:rsidRPr="006432B2" w:rsidRDefault="00626811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Alimentary tract and metabolism products.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ATC Code А16А Х01.</w:t>
      </w:r>
    </w:p>
    <w:p w:rsidR="00626E3E" w:rsidRPr="006432B2" w:rsidRDefault="00626E3E" w:rsidP="00C05AF1">
      <w:pPr>
        <w:pStyle w:val="Style5"/>
        <w:widowControl/>
        <w:jc w:val="left"/>
        <w:rPr>
          <w:lang w:val="en-GB"/>
        </w:rPr>
      </w:pPr>
    </w:p>
    <w:p w:rsidR="00626E3E" w:rsidRPr="006432B2" w:rsidRDefault="006432B2" w:rsidP="00C05AF1">
      <w:pPr>
        <w:pStyle w:val="Style5"/>
        <w:widowControl/>
        <w:jc w:val="left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Pharmacological properties</w:t>
      </w:r>
    </w:p>
    <w:p w:rsidR="00626E3E" w:rsidRPr="006432B2" w:rsidRDefault="006432B2" w:rsidP="00C05AF1">
      <w:pPr>
        <w:pStyle w:val="Style6"/>
        <w:widowControl/>
        <w:rPr>
          <w:rStyle w:val="FontStyle15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Pharmacodynamics</w:t>
      </w:r>
    </w:p>
    <w:p w:rsidR="002A3A94" w:rsidRPr="006432B2" w:rsidRDefault="00626811" w:rsidP="00C05AF1">
      <w:pPr>
        <w:pStyle w:val="Style7"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Thioctic acid is a vitamin-like substance</w:t>
      </w:r>
      <w:r w:rsidR="000D5319" w:rsidRPr="006432B2">
        <w:rPr>
          <w:lang w:val="en-GB"/>
        </w:rPr>
        <w:t xml:space="preserve"> naturally produced </w:t>
      </w:r>
      <w:r w:rsidRPr="006432B2">
        <w:rPr>
          <w:lang w:val="en-GB"/>
        </w:rPr>
        <w:t xml:space="preserve">by the </w:t>
      </w:r>
      <w:r w:rsidR="000D5319" w:rsidRPr="006432B2">
        <w:rPr>
          <w:lang w:val="en-GB"/>
        </w:rPr>
        <w:t xml:space="preserve">human </w:t>
      </w:r>
      <w:r w:rsidRPr="006432B2">
        <w:rPr>
          <w:lang w:val="en-GB"/>
        </w:rPr>
        <w:t xml:space="preserve">body and acts as a coenzyme </w:t>
      </w:r>
      <w:r w:rsidRPr="006432B2">
        <w:rPr>
          <w:lang w:val="en-GB" w:eastAsia="uk-UA"/>
        </w:rPr>
        <w:t>in oxidative decarboxylation of alpha-</w:t>
      </w:r>
      <w:proofErr w:type="spellStart"/>
      <w:r w:rsidRPr="006432B2">
        <w:rPr>
          <w:lang w:val="en-GB" w:eastAsia="uk-UA"/>
        </w:rPr>
        <w:t>keto</w:t>
      </w:r>
      <w:proofErr w:type="spellEnd"/>
      <w:r w:rsidRPr="006432B2">
        <w:rPr>
          <w:lang w:val="en-GB" w:eastAsia="uk-UA"/>
        </w:rPr>
        <w:t xml:space="preserve"> acids</w:t>
      </w:r>
      <w:r w:rsidRPr="006432B2">
        <w:rPr>
          <w:lang w:val="en-GB"/>
        </w:rPr>
        <w:t>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0D5319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Diabetic </w:t>
      </w:r>
      <w:r w:rsidR="00C44FDE" w:rsidRPr="006432B2">
        <w:rPr>
          <w:rStyle w:val="FontStyle13"/>
          <w:color w:val="auto"/>
          <w:sz w:val="24"/>
          <w:szCs w:val="24"/>
          <w:lang w:val="en-GB" w:eastAsia="uk-UA"/>
        </w:rPr>
        <w:t>hyperglycaemia</w:t>
      </w:r>
      <w:r w:rsidR="000D5319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leads to vascular glucose accumulation in matrix proteins and </w:t>
      </w:r>
      <w:r w:rsidR="00D3652B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formation of </w:t>
      </w:r>
      <w:r w:rsidR="000D5319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advanced </w:t>
      </w:r>
      <w:proofErr w:type="spellStart"/>
      <w:r w:rsidR="000D5319" w:rsidRPr="006432B2">
        <w:rPr>
          <w:rStyle w:val="FontStyle13"/>
          <w:color w:val="auto"/>
          <w:sz w:val="24"/>
          <w:szCs w:val="24"/>
          <w:lang w:val="en-GB" w:eastAsia="uk-UA"/>
        </w:rPr>
        <w:t>glycation</w:t>
      </w:r>
      <w:proofErr w:type="spellEnd"/>
      <w:r w:rsidR="000D5319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end products.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2A3A94" w:rsidRPr="006432B2">
        <w:rPr>
          <w:shd w:val="clear" w:color="auto" w:fill="FFFFFF"/>
          <w:lang w:val="en-GB"/>
        </w:rPr>
        <w:t xml:space="preserve">This process causes decrease in </w:t>
      </w:r>
      <w:proofErr w:type="spellStart"/>
      <w:r w:rsidR="002A3A94" w:rsidRPr="006432B2">
        <w:rPr>
          <w:shd w:val="clear" w:color="auto" w:fill="FFFFFF"/>
          <w:lang w:val="en-GB"/>
        </w:rPr>
        <w:t>endoneural</w:t>
      </w:r>
      <w:proofErr w:type="spellEnd"/>
      <w:r w:rsidR="002A3A94" w:rsidRPr="006432B2">
        <w:rPr>
          <w:shd w:val="clear" w:color="auto" w:fill="FFFFFF"/>
          <w:lang w:val="en-GB"/>
        </w:rPr>
        <w:t xml:space="preserve"> blood flow and to </w:t>
      </w:r>
      <w:proofErr w:type="spellStart"/>
      <w:r w:rsidR="002A3A94" w:rsidRPr="006432B2">
        <w:rPr>
          <w:shd w:val="clear" w:color="auto" w:fill="FFFFFF"/>
          <w:lang w:val="en-GB"/>
        </w:rPr>
        <w:t>endoneural</w:t>
      </w:r>
      <w:proofErr w:type="spellEnd"/>
      <w:r w:rsidR="002A3A94" w:rsidRPr="006432B2">
        <w:rPr>
          <w:shd w:val="clear" w:color="auto" w:fill="FFFFFF"/>
          <w:lang w:val="en-GB"/>
        </w:rPr>
        <w:t xml:space="preserve"> hypoxia/ischemia. This is related to increased production of free oxygen radicals, which damage nerves and causes depletion of antioxidant glutathione in the peripheral nerves.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2A3A94" w:rsidRPr="006432B2">
        <w:rPr>
          <w:lang w:val="en-GB"/>
        </w:rPr>
        <w:t xml:space="preserve">In studies with rats thioctic acid was found to influence on the biochemical processes caused by </w:t>
      </w:r>
      <w:proofErr w:type="spellStart"/>
      <w:r w:rsidR="002A3A94" w:rsidRPr="006432B2">
        <w:rPr>
          <w:lang w:val="en-GB"/>
        </w:rPr>
        <w:t>streptozotocin</w:t>
      </w:r>
      <w:proofErr w:type="spellEnd"/>
      <w:r w:rsidR="002A3A94" w:rsidRPr="006432B2">
        <w:rPr>
          <w:lang w:val="en-GB"/>
        </w:rPr>
        <w:t xml:space="preserve">-induced diabetes by decrease in the advanced </w:t>
      </w:r>
      <w:proofErr w:type="spellStart"/>
      <w:r w:rsidR="002A3A94" w:rsidRPr="006432B2">
        <w:rPr>
          <w:lang w:val="en-GB"/>
        </w:rPr>
        <w:t>glycation</w:t>
      </w:r>
      <w:proofErr w:type="spellEnd"/>
      <w:r w:rsidR="002A3A94" w:rsidRPr="006432B2">
        <w:rPr>
          <w:lang w:val="en-GB"/>
        </w:rPr>
        <w:t xml:space="preserve"> end products, improvement of </w:t>
      </w:r>
      <w:proofErr w:type="spellStart"/>
      <w:r w:rsidR="002A3A94" w:rsidRPr="006432B2">
        <w:rPr>
          <w:lang w:val="en-GB"/>
        </w:rPr>
        <w:t>endoneural</w:t>
      </w:r>
      <w:proofErr w:type="spellEnd"/>
      <w:r w:rsidR="002A3A94" w:rsidRPr="006432B2">
        <w:rPr>
          <w:lang w:val="en-GB"/>
        </w:rPr>
        <w:t xml:space="preserve"> blood flow, </w:t>
      </w:r>
      <w:proofErr w:type="gramStart"/>
      <w:r w:rsidR="002A3A94" w:rsidRPr="006432B2">
        <w:rPr>
          <w:lang w:val="en-GB"/>
        </w:rPr>
        <w:t>increase</w:t>
      </w:r>
      <w:proofErr w:type="gramEnd"/>
      <w:r w:rsidR="002A3A94" w:rsidRPr="006432B2">
        <w:rPr>
          <w:lang w:val="en-GB"/>
        </w:rPr>
        <w:t xml:space="preserve"> in physiological levels of glutathione in the affected diabetic nerve </w:t>
      </w:r>
      <w:r w:rsidR="002A3A94" w:rsidRPr="006432B2">
        <w:rPr>
          <w:rStyle w:val="FontStyle13"/>
          <w:color w:val="auto"/>
          <w:sz w:val="24"/>
          <w:szCs w:val="24"/>
          <w:lang w:val="en-GB" w:eastAsia="uk-UA"/>
        </w:rPr>
        <w:t>similar to the antioxidant action on free radicals.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2A3A94" w:rsidRPr="006432B2">
        <w:rPr>
          <w:lang w:val="en-GB"/>
        </w:rPr>
        <w:t>These effects observed through the studies show that the function of peripheral nerves could be improved by thioctic acid.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2A3A94" w:rsidRPr="006432B2">
        <w:rPr>
          <w:lang w:val="en-GB"/>
        </w:rPr>
        <w:t xml:space="preserve">This also concerns the sensory impairments in polyneuropathy manifested as </w:t>
      </w:r>
      <w:proofErr w:type="spellStart"/>
      <w:r w:rsidR="002A3A94" w:rsidRPr="006432B2">
        <w:rPr>
          <w:lang w:val="en-GB"/>
        </w:rPr>
        <w:t>dysesthesia</w:t>
      </w:r>
      <w:proofErr w:type="spellEnd"/>
      <w:r w:rsidR="002A3A94" w:rsidRPr="006432B2">
        <w:rPr>
          <w:lang w:val="en-GB"/>
        </w:rPr>
        <w:t xml:space="preserve">, </w:t>
      </w:r>
      <w:r w:rsidR="00C44FDE" w:rsidRPr="006432B2">
        <w:rPr>
          <w:lang w:val="en-GB"/>
        </w:rPr>
        <w:t>paraesthesia</w:t>
      </w:r>
      <w:r w:rsidR="002A3A94" w:rsidRPr="006432B2">
        <w:rPr>
          <w:lang w:val="en-GB"/>
        </w:rPr>
        <w:t xml:space="preserve"> (burning, pain, numbness or tingling).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2A3A94" w:rsidRPr="006432B2">
        <w:rPr>
          <w:lang w:val="en-GB"/>
        </w:rPr>
        <w:t xml:space="preserve">The study of symptomatic treatment of diabetic polyneuropathy with thioctic acid proved beneficial effect of thioctic acid on the studied symptoms: </w:t>
      </w:r>
      <w:r w:rsidR="00C44FDE" w:rsidRPr="006432B2">
        <w:rPr>
          <w:lang w:val="en-GB"/>
        </w:rPr>
        <w:t>paraesthesia</w:t>
      </w:r>
      <w:r w:rsidR="002A3A94" w:rsidRPr="006432B2">
        <w:rPr>
          <w:lang w:val="en-GB"/>
        </w:rPr>
        <w:t xml:space="preserve">, burning, tingling and pain. 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626E3E" w:rsidRPr="006432B2" w:rsidRDefault="006432B2" w:rsidP="00C05AF1">
      <w:pPr>
        <w:pStyle w:val="Style7"/>
        <w:spacing w:line="240" w:lineRule="auto"/>
        <w:rPr>
          <w:rStyle w:val="FontStyle15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Pharmacokinetics</w:t>
      </w:r>
    </w:p>
    <w:p w:rsidR="00626E3E" w:rsidRPr="006432B2" w:rsidRDefault="0059524E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Thioctic acid undergoes high first-pass hepatic metabolism.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CB697B" w:rsidRPr="006432B2">
        <w:rPr>
          <w:rStyle w:val="FontStyle13"/>
          <w:color w:val="auto"/>
          <w:sz w:val="24"/>
          <w:szCs w:val="24"/>
          <w:lang w:val="en-GB" w:eastAsia="uk-UA"/>
        </w:rPr>
        <w:t>S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ystemic bioavailability s</w:t>
      </w:r>
      <w:r w:rsidR="00CB697B" w:rsidRPr="006432B2">
        <w:rPr>
          <w:rStyle w:val="FontStyle13"/>
          <w:color w:val="auto"/>
          <w:sz w:val="24"/>
          <w:szCs w:val="24"/>
          <w:lang w:val="en-GB" w:eastAsia="uk-UA"/>
        </w:rPr>
        <w:t>ignificantly var</w:t>
      </w:r>
      <w:r w:rsidR="0087556B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y from </w:t>
      </w:r>
      <w:r w:rsidR="00CB697B" w:rsidRPr="006432B2">
        <w:rPr>
          <w:rStyle w:val="FontStyle13"/>
          <w:color w:val="auto"/>
          <w:sz w:val="24"/>
          <w:szCs w:val="24"/>
          <w:lang w:val="en-GB" w:eastAsia="uk-UA"/>
        </w:rPr>
        <w:t>patient</w:t>
      </w:r>
      <w:r w:rsidR="0087556B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to patient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F96DEA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Biotransformation of </w:t>
      </w:r>
      <w:r w:rsidR="003728CD" w:rsidRPr="006432B2">
        <w:rPr>
          <w:rStyle w:val="FontStyle13"/>
          <w:color w:val="auto"/>
          <w:sz w:val="24"/>
          <w:szCs w:val="24"/>
          <w:lang w:val="en-GB" w:eastAsia="uk-UA"/>
        </w:rPr>
        <w:t>thioctic</w:t>
      </w:r>
      <w:r w:rsidR="00F96DEA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acid is by side chain oxidation and </w:t>
      </w:r>
      <w:r w:rsidR="00F96DEA" w:rsidRPr="006432B2">
        <w:rPr>
          <w:rStyle w:val="FontStyle13"/>
          <w:color w:val="auto"/>
          <w:sz w:val="24"/>
          <w:szCs w:val="24"/>
          <w:lang w:val="en-GB" w:eastAsia="uk-UA"/>
        </w:rPr>
        <w:lastRenderedPageBreak/>
        <w:t>conjugation and 80-90% of its metabolites are excreted through the kidneys.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F96DEA" w:rsidRPr="006432B2">
        <w:rPr>
          <w:lang w:val="en-GB" w:eastAsia="uk-UA"/>
        </w:rPr>
        <w:t xml:space="preserve">The elimination half-life of </w:t>
      </w:r>
      <w:r w:rsidR="00F96DEA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thioctic acid is 25 minutes and the total plasma clearance is 10-15 </w:t>
      </w:r>
      <w:r w:rsidR="00A15068" w:rsidRPr="006432B2">
        <w:rPr>
          <w:rStyle w:val="FontStyle13"/>
          <w:color w:val="auto"/>
          <w:sz w:val="24"/>
          <w:szCs w:val="24"/>
          <w:lang w:val="en-GB" w:eastAsia="uk-UA"/>
        </w:rPr>
        <w:t>mL</w:t>
      </w:r>
      <w:r w:rsidR="00F96DEA" w:rsidRPr="006432B2">
        <w:rPr>
          <w:rStyle w:val="FontStyle13"/>
          <w:color w:val="auto"/>
          <w:sz w:val="24"/>
          <w:szCs w:val="24"/>
          <w:lang w:val="en-GB" w:eastAsia="uk-UA"/>
        </w:rPr>
        <w:t>/min/kg.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F96DEA" w:rsidRPr="006432B2">
        <w:rPr>
          <w:lang w:val="en-GB"/>
        </w:rPr>
        <w:t xml:space="preserve">After a 30-minute infusion of 600 mg </w:t>
      </w:r>
      <w:r w:rsidR="003728CD" w:rsidRPr="006432B2">
        <w:rPr>
          <w:lang w:val="en-GB"/>
        </w:rPr>
        <w:t>thioctic</w:t>
      </w:r>
      <w:r w:rsidR="00F96DEA" w:rsidRPr="006432B2">
        <w:rPr>
          <w:lang w:val="en-GB"/>
        </w:rPr>
        <w:t xml:space="preserve"> acid its plasma concentration is </w:t>
      </w:r>
      <w:proofErr w:type="gramStart"/>
      <w:r w:rsidR="0061063D" w:rsidRPr="006432B2">
        <w:rPr>
          <w:lang w:val="en-GB"/>
        </w:rPr>
        <w:t xml:space="preserve">approximately </w:t>
      </w:r>
      <w:r w:rsidR="00F96DEA" w:rsidRPr="006432B2">
        <w:rPr>
          <w:lang w:val="en-GB"/>
        </w:rPr>
        <w:t>20 µg/</w:t>
      </w:r>
      <w:r w:rsidR="00A15068" w:rsidRPr="006432B2">
        <w:rPr>
          <w:lang w:val="en-GB"/>
        </w:rPr>
        <w:t>mL</w:t>
      </w:r>
      <w:proofErr w:type="gramEnd"/>
      <w:r w:rsidR="00F96DEA" w:rsidRPr="006432B2">
        <w:rPr>
          <w:lang w:val="en-GB"/>
        </w:rPr>
        <w:t>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8D275A" w:rsidRPr="006432B2">
        <w:rPr>
          <w:rStyle w:val="FontStyle13"/>
          <w:color w:val="auto"/>
          <w:sz w:val="24"/>
          <w:szCs w:val="24"/>
          <w:lang w:val="en-GB" w:eastAsia="uk-UA"/>
        </w:rPr>
        <w:t>Only small amounts of the intact substance are excreted with urine.</w:t>
      </w:r>
    </w:p>
    <w:p w:rsidR="00626E3E" w:rsidRPr="006432B2" w:rsidRDefault="00626E3E" w:rsidP="00C05AF1">
      <w:pPr>
        <w:pStyle w:val="Style4"/>
        <w:widowControl/>
        <w:spacing w:line="240" w:lineRule="auto"/>
        <w:jc w:val="left"/>
        <w:rPr>
          <w:lang w:val="en-GB"/>
        </w:rPr>
      </w:pPr>
    </w:p>
    <w:p w:rsidR="00502E25" w:rsidRPr="006432B2" w:rsidRDefault="006432B2" w:rsidP="00C05AF1">
      <w:pPr>
        <w:pStyle w:val="Style4"/>
        <w:widowControl/>
        <w:spacing w:line="240" w:lineRule="auto"/>
        <w:jc w:val="left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Clinical particulars</w:t>
      </w:r>
    </w:p>
    <w:p w:rsidR="00626E3E" w:rsidRPr="006432B2" w:rsidRDefault="006432B2" w:rsidP="00C05AF1">
      <w:pPr>
        <w:pStyle w:val="Style4"/>
        <w:widowControl/>
        <w:spacing w:line="240" w:lineRule="auto"/>
        <w:jc w:val="left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Indications</w:t>
      </w:r>
    </w:p>
    <w:p w:rsidR="00502E25" w:rsidRPr="006432B2" w:rsidRDefault="00C44FDE" w:rsidP="00C05AF1">
      <w:pPr>
        <w:pStyle w:val="Style10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Paraesthesia</w:t>
      </w:r>
      <w:r w:rsidR="00296CD0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in diabetic polyneuropathy.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502E25" w:rsidRPr="006432B2" w:rsidRDefault="00502E25" w:rsidP="00C05AF1">
      <w:pPr>
        <w:pStyle w:val="Style10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</w:p>
    <w:p w:rsidR="00626E3E" w:rsidRPr="006432B2" w:rsidRDefault="006432B2" w:rsidP="00C05AF1">
      <w:pPr>
        <w:pStyle w:val="Style10"/>
        <w:widowControl/>
        <w:spacing w:line="240" w:lineRule="auto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Contraindications</w:t>
      </w:r>
    </w:p>
    <w:p w:rsidR="00C96AAE" w:rsidRPr="006432B2" w:rsidRDefault="00296CD0" w:rsidP="00C05AF1">
      <w:pPr>
        <w:pStyle w:val="Style10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Hypersensitivity to </w:t>
      </w:r>
      <w:r w:rsidR="003728CD" w:rsidRPr="006432B2">
        <w:rPr>
          <w:rStyle w:val="FontStyle13"/>
          <w:color w:val="auto"/>
          <w:sz w:val="24"/>
          <w:szCs w:val="24"/>
          <w:lang w:val="en-GB" w:eastAsia="uk-UA"/>
        </w:rPr>
        <w:t>thioctic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acid or to any of the excipients.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502E25" w:rsidRPr="006432B2" w:rsidRDefault="00502E25" w:rsidP="00C05AF1">
      <w:pPr>
        <w:pStyle w:val="Style10"/>
        <w:widowControl/>
        <w:spacing w:line="240" w:lineRule="auto"/>
        <w:rPr>
          <w:rStyle w:val="FontStyle14"/>
          <w:color w:val="auto"/>
          <w:sz w:val="24"/>
          <w:szCs w:val="24"/>
          <w:lang w:val="en-GB" w:eastAsia="uk-UA"/>
        </w:rPr>
      </w:pPr>
    </w:p>
    <w:p w:rsidR="00626E3E" w:rsidRPr="006432B2" w:rsidRDefault="00296CD0" w:rsidP="00C05AF1">
      <w:pPr>
        <w:pStyle w:val="Style10"/>
        <w:widowControl/>
        <w:spacing w:line="240" w:lineRule="auto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Interaction with other medicinal products</w:t>
      </w:r>
      <w:r w:rsidR="006432B2" w:rsidRPr="006432B2">
        <w:rPr>
          <w:rStyle w:val="FontStyle14"/>
          <w:color w:val="auto"/>
          <w:sz w:val="24"/>
          <w:szCs w:val="24"/>
          <w:lang w:val="en-GB" w:eastAsia="uk-UA"/>
        </w:rPr>
        <w:t xml:space="preserve"> and other forms of interaction</w:t>
      </w:r>
    </w:p>
    <w:p w:rsidR="00626E3E" w:rsidRPr="006432B2" w:rsidRDefault="003728CD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Thioctic</w:t>
      </w:r>
      <w:r w:rsidR="007E7BB0" w:rsidRPr="006432B2">
        <w:rPr>
          <w:lang w:val="en-GB"/>
        </w:rPr>
        <w:t xml:space="preserve"> acid react with ions complex metals (e.g. </w:t>
      </w:r>
      <w:proofErr w:type="spellStart"/>
      <w:r w:rsidR="007E7BB0" w:rsidRPr="006432B2">
        <w:rPr>
          <w:lang w:val="en-GB"/>
        </w:rPr>
        <w:t>cisplatine</w:t>
      </w:r>
      <w:proofErr w:type="spellEnd"/>
      <w:r w:rsidR="007E7BB0" w:rsidRPr="006432B2">
        <w:rPr>
          <w:lang w:val="en-GB"/>
        </w:rPr>
        <w:t>), therefore the product may lower their effects.</w:t>
      </w:r>
    </w:p>
    <w:p w:rsidR="00626E3E" w:rsidRPr="006432B2" w:rsidRDefault="003728CD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Thioctic</w:t>
      </w:r>
      <w:r w:rsidR="007E7BB0" w:rsidRPr="006432B2">
        <w:rPr>
          <w:lang w:val="en-GB"/>
        </w:rPr>
        <w:t xml:space="preserve"> acid forms slightly soluble complexes with sugar molecules (e.g. </w:t>
      </w:r>
      <w:proofErr w:type="spellStart"/>
      <w:r w:rsidR="007E7BB0" w:rsidRPr="006432B2">
        <w:rPr>
          <w:lang w:val="en-GB"/>
        </w:rPr>
        <w:t>levulose</w:t>
      </w:r>
      <w:proofErr w:type="spellEnd"/>
      <w:r w:rsidR="007E7BB0" w:rsidRPr="006432B2">
        <w:rPr>
          <w:lang w:val="en-GB"/>
        </w:rPr>
        <w:t>).</w:t>
      </w:r>
    </w:p>
    <w:p w:rsidR="00626E3E" w:rsidRPr="006432B2" w:rsidRDefault="00276E02" w:rsidP="00C05AF1">
      <w:pPr>
        <w:pStyle w:val="Style7"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Thioctic acid is a metal </w:t>
      </w:r>
      <w:proofErr w:type="spellStart"/>
      <w:r w:rsidRPr="006432B2">
        <w:rPr>
          <w:rStyle w:val="FontStyle13"/>
          <w:color w:val="auto"/>
          <w:sz w:val="24"/>
          <w:szCs w:val="24"/>
          <w:lang w:val="en-GB" w:eastAsia="uk-UA"/>
        </w:rPr>
        <w:t>chelator</w:t>
      </w:r>
      <w:proofErr w:type="spellEnd"/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, so it </w:t>
      </w:r>
      <w:proofErr w:type="spellStart"/>
      <w:r w:rsidRPr="006432B2">
        <w:rPr>
          <w:rStyle w:val="FontStyle13"/>
          <w:color w:val="auto"/>
          <w:sz w:val="24"/>
          <w:szCs w:val="24"/>
          <w:lang w:val="en-GB" w:eastAsia="uk-UA"/>
        </w:rPr>
        <w:t>can not</w:t>
      </w:r>
      <w:proofErr w:type="spellEnd"/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be used together with metals (iron, magnesium).</w:t>
      </w:r>
    </w:p>
    <w:p w:rsidR="00626E3E" w:rsidRPr="006432B2" w:rsidRDefault="00C44FDE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Hypoglycaemic</w:t>
      </w:r>
      <w:r w:rsidR="00AA4707" w:rsidRPr="006432B2">
        <w:rPr>
          <w:lang w:val="en-GB"/>
        </w:rPr>
        <w:t xml:space="preserve"> effect of antidiabetic drugs (insulin and/or others) could be increased. Therefore blood sugar levels should be strictly monitored, especially in the beginning of the therapy with thioctic acid. </w:t>
      </w:r>
      <w:r w:rsidR="0055510B" w:rsidRPr="006432B2">
        <w:rPr>
          <w:lang w:val="en-GB"/>
        </w:rPr>
        <w:t xml:space="preserve">In single cases as prevention of </w:t>
      </w:r>
      <w:r w:rsidRPr="006432B2">
        <w:rPr>
          <w:lang w:val="en-GB"/>
        </w:rPr>
        <w:t>hypoglycaemic</w:t>
      </w:r>
      <w:r w:rsidR="0055510B" w:rsidRPr="006432B2">
        <w:rPr>
          <w:lang w:val="en-GB"/>
        </w:rPr>
        <w:t xml:space="preserve"> syndromes, the insulin dosage or the dose of oral antidiabetic products might need to be reduced.</w:t>
      </w:r>
    </w:p>
    <w:p w:rsidR="00626E3E" w:rsidRPr="006432B2" w:rsidRDefault="00626E3E" w:rsidP="00C05AF1">
      <w:pPr>
        <w:pStyle w:val="Style5"/>
        <w:widowControl/>
        <w:jc w:val="left"/>
        <w:rPr>
          <w:lang w:val="en-GB"/>
        </w:rPr>
      </w:pPr>
    </w:p>
    <w:p w:rsidR="00626E3E" w:rsidRPr="006432B2" w:rsidRDefault="0055510B" w:rsidP="00C05AF1">
      <w:pPr>
        <w:pStyle w:val="Style5"/>
        <w:widowControl/>
        <w:jc w:val="left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Special w</w:t>
      </w:r>
      <w:r w:rsidR="006432B2" w:rsidRPr="006432B2">
        <w:rPr>
          <w:rStyle w:val="FontStyle14"/>
          <w:color w:val="auto"/>
          <w:sz w:val="24"/>
          <w:szCs w:val="24"/>
          <w:lang w:val="en-GB" w:eastAsia="uk-UA"/>
        </w:rPr>
        <w:t>arnings and precautions for use</w:t>
      </w:r>
    </w:p>
    <w:p w:rsidR="006432B2" w:rsidRPr="006432B2" w:rsidRDefault="0055510B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Diabetic patients need frequent blood glucose monitoring.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lang w:val="en-GB"/>
        </w:rPr>
        <w:t xml:space="preserve">In separate cases sugar-lowering agents shall be adjusted to prevent </w:t>
      </w:r>
      <w:r w:rsidR="00C44FDE" w:rsidRPr="006432B2">
        <w:rPr>
          <w:lang w:val="en-GB"/>
        </w:rPr>
        <w:t>hypoglycaemia</w:t>
      </w:r>
      <w:r w:rsidRPr="006432B2">
        <w:rPr>
          <w:lang w:val="en-GB"/>
        </w:rPr>
        <w:t>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6432B2" w:rsidRPr="006432B2" w:rsidRDefault="0055510B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 xml:space="preserve">In treatment of polyneuropathy due to regenerative processes short-term increased sensitivity with </w:t>
      </w:r>
      <w:r w:rsidR="00C44FDE" w:rsidRPr="006432B2">
        <w:rPr>
          <w:lang w:val="en-GB"/>
        </w:rPr>
        <w:t>paraesthesia</w:t>
      </w:r>
      <w:r w:rsidRPr="006432B2">
        <w:rPr>
          <w:lang w:val="en-GB"/>
        </w:rPr>
        <w:t xml:space="preserve"> and creeping sensation can develop.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626E3E" w:rsidRPr="006432B2" w:rsidRDefault="0055510B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Chronic use of alcohol is a risk factor of development of polyneuropathy and can decrease efficacy of Dialipon</w:t>
      </w:r>
      <w:r w:rsidRPr="006432B2">
        <w:rPr>
          <w:vertAlign w:val="superscript"/>
          <w:lang w:val="en-GB"/>
        </w:rPr>
        <w:t>®</w:t>
      </w:r>
      <w:r w:rsidRPr="006432B2">
        <w:rPr>
          <w:lang w:val="en-GB"/>
        </w:rPr>
        <w:t>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lang w:val="en-GB"/>
        </w:rPr>
        <w:t xml:space="preserve">Therefore it is </w:t>
      </w:r>
      <w:r w:rsidR="00B21770" w:rsidRPr="006432B2">
        <w:rPr>
          <w:lang w:val="en-GB"/>
        </w:rPr>
        <w:t xml:space="preserve">not </w:t>
      </w:r>
      <w:r w:rsidRPr="006432B2">
        <w:rPr>
          <w:lang w:val="en-GB"/>
        </w:rPr>
        <w:t xml:space="preserve">recommended to </w:t>
      </w:r>
      <w:r w:rsidR="00B21770" w:rsidRPr="006432B2">
        <w:rPr>
          <w:lang w:val="en-GB"/>
        </w:rPr>
        <w:t xml:space="preserve">drink </w:t>
      </w:r>
      <w:r w:rsidRPr="006432B2">
        <w:rPr>
          <w:lang w:val="en-GB"/>
        </w:rPr>
        <w:t>alcohol during treatment.</w:t>
      </w:r>
    </w:p>
    <w:p w:rsidR="00626E3E" w:rsidRPr="006432B2" w:rsidRDefault="00B21770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The product is photosensitive therefore ampoules shall be taken from the carton just before use.</w:t>
      </w:r>
    </w:p>
    <w:p w:rsidR="00626E3E" w:rsidRPr="006432B2" w:rsidRDefault="00B21770" w:rsidP="00C05AF1">
      <w:pPr>
        <w:pStyle w:val="Style7"/>
        <w:widowControl/>
        <w:spacing w:line="240" w:lineRule="auto"/>
        <w:jc w:val="left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Intravenous thioctic acid should be restricted in elderly (over 75 years).</w:t>
      </w:r>
    </w:p>
    <w:p w:rsidR="00626E3E" w:rsidRPr="006432B2" w:rsidRDefault="00626E3E" w:rsidP="00C05AF1">
      <w:pPr>
        <w:pStyle w:val="Style5"/>
        <w:widowControl/>
        <w:jc w:val="left"/>
        <w:rPr>
          <w:lang w:val="en-GB"/>
        </w:rPr>
      </w:pPr>
    </w:p>
    <w:p w:rsidR="00626E3E" w:rsidRPr="006432B2" w:rsidRDefault="00B21770" w:rsidP="00C05AF1">
      <w:pPr>
        <w:pStyle w:val="Style5"/>
        <w:widowControl/>
        <w:jc w:val="left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Use</w:t>
      </w:r>
      <w:r w:rsidR="006432B2" w:rsidRPr="006432B2">
        <w:rPr>
          <w:rStyle w:val="FontStyle14"/>
          <w:color w:val="auto"/>
          <w:sz w:val="24"/>
          <w:szCs w:val="24"/>
          <w:lang w:val="en-GB" w:eastAsia="uk-UA"/>
        </w:rPr>
        <w:t xml:space="preserve"> during pregnancy and lactation</w:t>
      </w:r>
    </w:p>
    <w:p w:rsidR="00626E3E" w:rsidRPr="006432B2" w:rsidRDefault="001D7480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Because of the lack of enough data of drug safety during pregnancy, the therapy should be taken only under medical supervision.</w:t>
      </w:r>
    </w:p>
    <w:p w:rsidR="00626E3E" w:rsidRPr="006432B2" w:rsidRDefault="001D7480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Because of lack of data for passing of thioctic acid in the mothers’ milk, the use of thioctic acid should be avoided during breast-feeding.</w:t>
      </w:r>
    </w:p>
    <w:p w:rsidR="00626E3E" w:rsidRPr="006432B2" w:rsidRDefault="00626E3E" w:rsidP="00C05AF1">
      <w:pPr>
        <w:pStyle w:val="Style5"/>
        <w:widowControl/>
        <w:rPr>
          <w:lang w:val="en-GB"/>
        </w:rPr>
      </w:pPr>
    </w:p>
    <w:p w:rsidR="00626E3E" w:rsidRPr="006432B2" w:rsidRDefault="001D7480" w:rsidP="00C05AF1">
      <w:pPr>
        <w:pStyle w:val="Style5"/>
        <w:widowControl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 xml:space="preserve">Effects on speed of reactions </w:t>
      </w:r>
      <w:r w:rsidR="006432B2" w:rsidRPr="006432B2">
        <w:rPr>
          <w:rStyle w:val="FontStyle14"/>
          <w:color w:val="auto"/>
          <w:sz w:val="24"/>
          <w:szCs w:val="24"/>
          <w:lang w:val="en-GB" w:eastAsia="uk-UA"/>
        </w:rPr>
        <w:t>when driving or using machinery</w:t>
      </w:r>
    </w:p>
    <w:p w:rsidR="00626E3E" w:rsidRPr="006432B2" w:rsidRDefault="001D7480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During the period of treatment </w:t>
      </w:r>
      <w:r w:rsidR="00E936E2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caution should be used in 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patients </w:t>
      </w:r>
      <w:r w:rsidR="00E936E2" w:rsidRPr="006432B2">
        <w:rPr>
          <w:rStyle w:val="FontStyle13"/>
          <w:color w:val="auto"/>
          <w:sz w:val="24"/>
          <w:szCs w:val="24"/>
          <w:lang w:val="en-GB" w:eastAsia="uk-UA"/>
        </w:rPr>
        <w:t>while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driving and doing other potentially hazardous activities that require high concentration and rapid psychomotor reactions.</w:t>
      </w:r>
    </w:p>
    <w:p w:rsidR="00626E3E" w:rsidRPr="006432B2" w:rsidRDefault="00626E3E" w:rsidP="00C05AF1">
      <w:pPr>
        <w:pStyle w:val="Style5"/>
        <w:widowControl/>
        <w:jc w:val="left"/>
        <w:rPr>
          <w:lang w:val="en-GB"/>
        </w:rPr>
      </w:pPr>
    </w:p>
    <w:p w:rsidR="00626E3E" w:rsidRPr="006432B2" w:rsidRDefault="00E936E2" w:rsidP="00C05AF1">
      <w:pPr>
        <w:pStyle w:val="Style5"/>
        <w:widowControl/>
        <w:jc w:val="left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Posolo</w:t>
      </w:r>
      <w:r w:rsidR="006432B2" w:rsidRPr="006432B2">
        <w:rPr>
          <w:rStyle w:val="FontStyle14"/>
          <w:color w:val="auto"/>
          <w:sz w:val="24"/>
          <w:szCs w:val="24"/>
          <w:lang w:val="en-GB" w:eastAsia="uk-UA"/>
        </w:rPr>
        <w:t>gy and method of administration</w:t>
      </w:r>
    </w:p>
    <w:p w:rsidR="00626E3E" w:rsidRPr="006432B2" w:rsidRDefault="00861381" w:rsidP="00C05AF1">
      <w:pPr>
        <w:pStyle w:val="Style7"/>
        <w:widowControl/>
        <w:spacing w:line="240" w:lineRule="auto"/>
        <w:jc w:val="left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The dose and duration of treatment should be determined by the physician individually.</w:t>
      </w:r>
    </w:p>
    <w:p w:rsidR="00626E3E" w:rsidRPr="006432B2" w:rsidRDefault="00861381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10 </w:t>
      </w:r>
      <w:r w:rsidR="00A15068" w:rsidRPr="006432B2">
        <w:rPr>
          <w:rStyle w:val="FontStyle13"/>
          <w:color w:val="auto"/>
          <w:sz w:val="24"/>
          <w:szCs w:val="24"/>
          <w:lang w:val="en-GB" w:eastAsia="uk-UA"/>
        </w:rPr>
        <w:t>mL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to 20 </w:t>
      </w:r>
      <w:r w:rsidR="00A15068" w:rsidRPr="006432B2">
        <w:rPr>
          <w:rStyle w:val="FontStyle13"/>
          <w:color w:val="auto"/>
          <w:sz w:val="24"/>
          <w:szCs w:val="24"/>
          <w:lang w:val="en-GB" w:eastAsia="uk-UA"/>
        </w:rPr>
        <w:t>mL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intravenous dose daily equivalent to 300-600 mg of thioctic acid is recommended </w:t>
      </w:r>
      <w:r w:rsidR="00A76A7D" w:rsidRPr="006432B2">
        <w:rPr>
          <w:rStyle w:val="FontStyle13"/>
          <w:color w:val="auto"/>
          <w:sz w:val="24"/>
          <w:szCs w:val="24"/>
          <w:lang w:val="en-US" w:eastAsia="uk-UA"/>
        </w:rPr>
        <w:t>for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intense </w:t>
      </w:r>
      <w:r w:rsidR="00C44FDE" w:rsidRPr="006432B2">
        <w:rPr>
          <w:rStyle w:val="FontStyle13"/>
          <w:color w:val="auto"/>
          <w:sz w:val="24"/>
          <w:szCs w:val="24"/>
          <w:lang w:val="en-GB" w:eastAsia="uk-UA"/>
        </w:rPr>
        <w:t>paraesthesia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lang w:val="en-GB"/>
        </w:rPr>
        <w:t>The solution for infusion should be used for 2-4 weeks in the initial stages of treatment.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lang w:val="en-GB"/>
        </w:rPr>
        <w:t>The product pre</w:t>
      </w:r>
      <w:r w:rsidR="006432B2" w:rsidRPr="006432B2">
        <w:rPr>
          <w:lang w:val="en-GB"/>
        </w:rPr>
        <w:t>-</w:t>
      </w:r>
      <w:r w:rsidRPr="006432B2">
        <w:rPr>
          <w:lang w:val="en-GB"/>
        </w:rPr>
        <w:t xml:space="preserve">dissolved in 250 </w:t>
      </w:r>
      <w:r w:rsidR="00A15068" w:rsidRPr="006432B2">
        <w:rPr>
          <w:lang w:val="en-GB"/>
        </w:rPr>
        <w:t>mL</w:t>
      </w:r>
      <w:r w:rsidRPr="006432B2">
        <w:rPr>
          <w:lang w:val="en-GB"/>
        </w:rPr>
        <w:t xml:space="preserve"> of 0.9 % sodium chloride is administered intravenously. The infusion should be administered over at least 30 min. The active substance is sensitive to light exposure. The 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solution for infusion should be prepared immediately before administration and protected from light, for example, with </w:t>
      </w:r>
      <w:r w:rsidR="00C44FDE" w:rsidRPr="006432B2">
        <w:rPr>
          <w:rStyle w:val="FontStyle13"/>
          <w:color w:val="auto"/>
          <w:sz w:val="24"/>
          <w:szCs w:val="24"/>
          <w:lang w:val="en-GB" w:eastAsia="uk-UA"/>
        </w:rPr>
        <w:t>aluminium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foil.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This reconstituted solution may be stored for up to 6 hours if protected from light.</w:t>
      </w:r>
    </w:p>
    <w:p w:rsidR="00626E3E" w:rsidRPr="006432B2" w:rsidRDefault="00FE130D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lastRenderedPageBreak/>
        <w:t xml:space="preserve">Oral Dialipon® at a dose of 300-600 mg thioctic acid daily </w:t>
      </w:r>
      <w:r w:rsidR="00C44FDE" w:rsidRPr="006432B2">
        <w:rPr>
          <w:rStyle w:val="FontStyle13"/>
          <w:color w:val="auto"/>
          <w:sz w:val="24"/>
          <w:szCs w:val="24"/>
          <w:lang w:val="en-GB" w:eastAsia="uk-UA"/>
        </w:rPr>
        <w:t>is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used for the further therapy.</w:t>
      </w:r>
    </w:p>
    <w:p w:rsidR="00626E3E" w:rsidRPr="006432B2" w:rsidRDefault="00626E3E" w:rsidP="00C05AF1">
      <w:pPr>
        <w:pStyle w:val="Style5"/>
        <w:widowControl/>
        <w:jc w:val="left"/>
        <w:rPr>
          <w:lang w:val="en-GB"/>
        </w:rPr>
      </w:pPr>
    </w:p>
    <w:p w:rsidR="00626E3E" w:rsidRPr="006432B2" w:rsidRDefault="006432B2" w:rsidP="00C05AF1">
      <w:pPr>
        <w:pStyle w:val="Style5"/>
        <w:widowControl/>
        <w:jc w:val="left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Paediatric population</w:t>
      </w:r>
    </w:p>
    <w:p w:rsidR="00626E3E" w:rsidRPr="006432B2" w:rsidRDefault="006D6FEA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Dialipon®</w:t>
      </w:r>
      <w:r w:rsidR="00FE130D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is not recommended to be used in children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and adolescents</w:t>
      </w:r>
      <w:r w:rsidR="00FE130D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because of lack of studies in this category of patients.</w:t>
      </w:r>
    </w:p>
    <w:p w:rsidR="00626E3E" w:rsidRPr="006432B2" w:rsidRDefault="00626E3E" w:rsidP="00C05AF1">
      <w:pPr>
        <w:pStyle w:val="Style5"/>
        <w:widowControl/>
        <w:jc w:val="left"/>
        <w:rPr>
          <w:lang w:val="en-GB"/>
        </w:rPr>
      </w:pPr>
    </w:p>
    <w:p w:rsidR="00626E3E" w:rsidRPr="006432B2" w:rsidRDefault="006432B2" w:rsidP="00C05AF1">
      <w:pPr>
        <w:pStyle w:val="Style5"/>
        <w:widowControl/>
        <w:jc w:val="left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Overdose</w:t>
      </w:r>
    </w:p>
    <w:p w:rsidR="00626E3E" w:rsidRPr="006432B2" w:rsidRDefault="00537914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At overdose nausea, vomiting and headache are possible.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snapToGrid w:val="0"/>
          <w:lang w:val="en-GB"/>
        </w:rPr>
        <w:t>It was reported that when administering 10 to 40 g thioctic acid in combination with alcohol, severe intoxication which can be lethal was observed.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snapToGrid w:val="0"/>
          <w:lang w:val="en-GB"/>
        </w:rPr>
        <w:t>Clinical signs of intoxication were manifested as psychomotor disorders or fainting followed by generalized seizure and development of lactic acidosis.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snapToGrid w:val="0"/>
          <w:lang w:val="en-GB"/>
        </w:rPr>
        <w:t xml:space="preserve">The result of intoxication is </w:t>
      </w:r>
      <w:r w:rsidR="00C44FDE" w:rsidRPr="006432B2">
        <w:rPr>
          <w:snapToGrid w:val="0"/>
          <w:lang w:val="en-GB"/>
        </w:rPr>
        <w:t>hypoglycaemia</w:t>
      </w:r>
      <w:r w:rsidRPr="006432B2">
        <w:rPr>
          <w:snapToGrid w:val="0"/>
          <w:lang w:val="en-GB"/>
        </w:rPr>
        <w:t xml:space="preserve">, shock, </w:t>
      </w:r>
      <w:proofErr w:type="spellStart"/>
      <w:r w:rsidRPr="006432B2">
        <w:rPr>
          <w:snapToGrid w:val="0"/>
          <w:lang w:val="en-GB"/>
        </w:rPr>
        <w:t>rhabdomyolysis</w:t>
      </w:r>
      <w:proofErr w:type="spellEnd"/>
      <w:r w:rsidRPr="006432B2">
        <w:rPr>
          <w:snapToGrid w:val="0"/>
          <w:lang w:val="en-GB"/>
        </w:rPr>
        <w:t xml:space="preserve">, </w:t>
      </w:r>
      <w:r w:rsidR="00C44FDE" w:rsidRPr="006432B2">
        <w:rPr>
          <w:snapToGrid w:val="0"/>
          <w:lang w:val="en-GB"/>
        </w:rPr>
        <w:t>haemolysis</w:t>
      </w:r>
      <w:r w:rsidRPr="006432B2">
        <w:rPr>
          <w:snapToGrid w:val="0"/>
          <w:lang w:val="en-GB"/>
        </w:rPr>
        <w:t>, disseminated intravascular coagulation, bone marrow suppression and organ insufficiency.</w:t>
      </w:r>
    </w:p>
    <w:p w:rsidR="00626E3E" w:rsidRPr="006432B2" w:rsidRDefault="00537914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Treatment.</w:t>
      </w:r>
      <w:r w:rsidR="00626E3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="00ED6E5B" w:rsidRPr="006432B2">
        <w:rPr>
          <w:lang w:val="en-GB"/>
        </w:rPr>
        <w:t>If severe intoxication with thioctic acid (more than 80 mg/kg thioctic acid of body mass) there should be immediate hospitalization and patients should be treated symptomatically as required (e.g. vomiting provocation, gastric lavage, intake of activated carbon).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B17CA0" w:rsidRPr="006432B2">
        <w:rPr>
          <w:lang w:val="en-GB"/>
        </w:rPr>
        <w:t>Treatment of generalized attacks, lact</w:t>
      </w:r>
      <w:r w:rsidR="003A6AC2" w:rsidRPr="006432B2">
        <w:rPr>
          <w:lang w:val="en-GB"/>
        </w:rPr>
        <w:t>ic</w:t>
      </w:r>
      <w:r w:rsidR="00B17CA0" w:rsidRPr="006432B2">
        <w:rPr>
          <w:lang w:val="en-GB"/>
        </w:rPr>
        <w:t xml:space="preserve"> acidosis and the other life threatening</w:t>
      </w:r>
      <w:r w:rsidR="004129B1" w:rsidRPr="006432B2">
        <w:rPr>
          <w:lang w:val="en-GB"/>
        </w:rPr>
        <w:t xml:space="preserve"> </w:t>
      </w:r>
      <w:r w:rsidR="00B17CA0" w:rsidRPr="006432B2">
        <w:rPr>
          <w:lang w:val="en-GB"/>
        </w:rPr>
        <w:t>consequences</w:t>
      </w:r>
      <w:r w:rsidR="004129B1" w:rsidRPr="006432B2">
        <w:rPr>
          <w:lang w:val="en-GB"/>
        </w:rPr>
        <w:t xml:space="preserve"> of intoxication </w:t>
      </w:r>
      <w:r w:rsidR="00B17CA0" w:rsidRPr="006432B2">
        <w:rPr>
          <w:lang w:val="en-GB"/>
        </w:rPr>
        <w:t>should be</w:t>
      </w:r>
      <w:r w:rsidR="004129B1" w:rsidRPr="006432B2">
        <w:rPr>
          <w:lang w:val="en-GB"/>
        </w:rPr>
        <w:t xml:space="preserve"> symptomatic and </w:t>
      </w:r>
      <w:r w:rsidR="00B17CA0" w:rsidRPr="006432B2">
        <w:rPr>
          <w:lang w:val="en-GB"/>
        </w:rPr>
        <w:t>in compliance with the principles of modern intensive therapy</w:t>
      </w:r>
      <w:r w:rsidR="003A6AC2" w:rsidRPr="006432B2">
        <w:rPr>
          <w:lang w:val="en-GB"/>
        </w:rPr>
        <w:t>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3A6AC2" w:rsidRPr="006432B2">
        <w:rPr>
          <w:lang w:val="en-GB"/>
        </w:rPr>
        <w:t xml:space="preserve">The use of </w:t>
      </w:r>
      <w:r w:rsidR="00C44FDE" w:rsidRPr="006432B2">
        <w:rPr>
          <w:lang w:val="en-GB"/>
        </w:rPr>
        <w:t>haemodialysis</w:t>
      </w:r>
      <w:r w:rsidR="003A6AC2" w:rsidRPr="006432B2">
        <w:rPr>
          <w:lang w:val="en-GB"/>
        </w:rPr>
        <w:t xml:space="preserve"> and </w:t>
      </w:r>
      <w:proofErr w:type="spellStart"/>
      <w:r w:rsidR="003A6AC2" w:rsidRPr="006432B2">
        <w:rPr>
          <w:lang w:val="en-GB"/>
        </w:rPr>
        <w:t>hemoperfusion</w:t>
      </w:r>
      <w:proofErr w:type="spellEnd"/>
      <w:r w:rsidR="003A6AC2" w:rsidRPr="006432B2">
        <w:rPr>
          <w:lang w:val="en-GB"/>
        </w:rPr>
        <w:t xml:space="preserve"> and filtration in the process of forced elimination of thioctic acid isn’t still verified.</w:t>
      </w:r>
    </w:p>
    <w:p w:rsidR="00626E3E" w:rsidRPr="006432B2" w:rsidRDefault="00626E3E" w:rsidP="00C05AF1">
      <w:pPr>
        <w:pStyle w:val="Style5"/>
        <w:widowControl/>
        <w:jc w:val="left"/>
        <w:rPr>
          <w:lang w:val="en-GB"/>
        </w:rPr>
      </w:pPr>
    </w:p>
    <w:p w:rsidR="00626E3E" w:rsidRPr="006432B2" w:rsidRDefault="006432B2" w:rsidP="00C05AF1">
      <w:pPr>
        <w:pStyle w:val="Style5"/>
        <w:widowControl/>
        <w:jc w:val="left"/>
        <w:rPr>
          <w:rStyle w:val="FontStyle14"/>
          <w:color w:val="auto"/>
          <w:sz w:val="24"/>
          <w:szCs w:val="24"/>
          <w:lang w:val="en-GB" w:eastAsia="uk-UA"/>
        </w:rPr>
      </w:pPr>
      <w:r>
        <w:rPr>
          <w:rStyle w:val="FontStyle14"/>
          <w:color w:val="auto"/>
          <w:sz w:val="24"/>
          <w:szCs w:val="24"/>
          <w:lang w:val="en-GB" w:eastAsia="uk-UA"/>
        </w:rPr>
        <w:t>Undesirable effects</w:t>
      </w:r>
    </w:p>
    <w:p w:rsidR="00626E3E" w:rsidRPr="006432B2" w:rsidRDefault="003A6AC2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Nervous system disorders:</w:t>
      </w:r>
      <w:r w:rsidR="00626E3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="00012D76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taste distortion or </w:t>
      </w:r>
      <w:proofErr w:type="spellStart"/>
      <w:r w:rsidR="00012D76" w:rsidRPr="006432B2">
        <w:rPr>
          <w:rStyle w:val="FontStyle13"/>
          <w:color w:val="auto"/>
          <w:sz w:val="24"/>
          <w:szCs w:val="24"/>
          <w:lang w:val="en-GB" w:eastAsia="uk-UA"/>
        </w:rPr>
        <w:t>dysgeusia</w:t>
      </w:r>
      <w:proofErr w:type="spellEnd"/>
      <w:r w:rsidR="00012D76" w:rsidRPr="006432B2">
        <w:rPr>
          <w:rStyle w:val="FontStyle13"/>
          <w:color w:val="auto"/>
          <w:sz w:val="24"/>
          <w:szCs w:val="24"/>
          <w:lang w:val="en-GB" w:eastAsia="uk-UA"/>
        </w:rPr>
        <w:t>, headache, flushing, increased sweating, shortness of breath, increased intracranial pressure, dizziness, cramps, blurred vision and double vision.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="002B7320" w:rsidRPr="006432B2">
        <w:rPr>
          <w:rStyle w:val="FontStyle13"/>
          <w:bCs/>
          <w:color w:val="auto"/>
          <w:sz w:val="24"/>
          <w:szCs w:val="24"/>
          <w:lang w:val="en-GB" w:eastAsia="uk-UA"/>
        </w:rPr>
        <w:t xml:space="preserve">In most cases all symptoms </w:t>
      </w:r>
      <w:r w:rsidR="00CC014C" w:rsidRPr="006432B2">
        <w:rPr>
          <w:rStyle w:val="FontStyle13"/>
          <w:bCs/>
          <w:color w:val="auto"/>
          <w:sz w:val="24"/>
          <w:szCs w:val="24"/>
          <w:lang w:val="en-GB" w:eastAsia="uk-UA"/>
        </w:rPr>
        <w:t>are</w:t>
      </w:r>
      <w:r w:rsidR="00CC014C" w:rsidRPr="006432B2">
        <w:rPr>
          <w:lang w:val="en-GB"/>
        </w:rPr>
        <w:t xml:space="preserve"> self-localizing</w:t>
      </w:r>
      <w:r w:rsidR="002B7320" w:rsidRPr="006432B2">
        <w:rPr>
          <w:rStyle w:val="FontStyle13"/>
          <w:bCs/>
          <w:color w:val="auto"/>
          <w:sz w:val="24"/>
          <w:szCs w:val="24"/>
          <w:lang w:val="en-GB" w:eastAsia="uk-UA"/>
        </w:rPr>
        <w:t>.</w:t>
      </w:r>
    </w:p>
    <w:p w:rsidR="00626E3E" w:rsidRPr="006432B2" w:rsidRDefault="002B7320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Gastrointestinal disorders:</w:t>
      </w:r>
      <w:r w:rsidR="00C44FD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="00C44FDE" w:rsidRPr="006432B2">
        <w:rPr>
          <w:lang w:val="en-GB"/>
        </w:rPr>
        <w:t>in f</w:t>
      </w:r>
      <w:r w:rsidR="00CC014C" w:rsidRPr="006432B2">
        <w:rPr>
          <w:lang w:val="en-GB"/>
        </w:rPr>
        <w:t xml:space="preserve">ast intravenous injection nausea, vomiting, </w:t>
      </w:r>
      <w:r w:rsidR="00C44FDE" w:rsidRPr="006432B2">
        <w:rPr>
          <w:lang w:val="en-GB"/>
        </w:rPr>
        <w:t>diarrhoea</w:t>
      </w:r>
      <w:r w:rsidR="00CC014C" w:rsidRPr="006432B2">
        <w:rPr>
          <w:lang w:val="en-GB"/>
        </w:rPr>
        <w:t>, abdominal pain, which are self-</w:t>
      </w:r>
      <w:proofErr w:type="gramStart"/>
      <w:r w:rsidR="00CC014C" w:rsidRPr="006432B2">
        <w:rPr>
          <w:lang w:val="en-GB"/>
        </w:rPr>
        <w:t>localizing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.</w:t>
      </w:r>
      <w:proofErr w:type="gramEnd"/>
    </w:p>
    <w:p w:rsidR="00C96AAE" w:rsidRPr="006432B2" w:rsidRDefault="00CC014C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Blood and lymphatic system disorders:</w:t>
      </w:r>
      <w:r w:rsidR="00626E3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="00B006AC" w:rsidRPr="006432B2">
        <w:rPr>
          <w:lang w:val="en-GB"/>
        </w:rPr>
        <w:t xml:space="preserve">petechial </w:t>
      </w:r>
      <w:r w:rsidR="00C44FDE" w:rsidRPr="006432B2">
        <w:rPr>
          <w:lang w:val="en-GB"/>
        </w:rPr>
        <w:t>haemorrhage</w:t>
      </w:r>
      <w:r w:rsidR="00B006AC" w:rsidRPr="006432B2">
        <w:rPr>
          <w:lang w:val="en-GB"/>
        </w:rPr>
        <w:t xml:space="preserve"> into mucosa, skin, thrombocyte disorders, </w:t>
      </w:r>
      <w:proofErr w:type="spellStart"/>
      <w:r w:rsidR="00B006AC" w:rsidRPr="006432B2">
        <w:rPr>
          <w:lang w:val="en-GB"/>
        </w:rPr>
        <w:t>hypocoagulation</w:t>
      </w:r>
      <w:proofErr w:type="spellEnd"/>
      <w:r w:rsidR="00B006AC" w:rsidRPr="006432B2">
        <w:rPr>
          <w:lang w:val="en-GB"/>
        </w:rPr>
        <w:t xml:space="preserve">, </w:t>
      </w:r>
      <w:r w:rsidR="00C44FDE" w:rsidRPr="006432B2">
        <w:rPr>
          <w:lang w:val="en-GB"/>
        </w:rPr>
        <w:t>haemorrhage</w:t>
      </w:r>
      <w:r w:rsidR="00B006AC" w:rsidRPr="006432B2">
        <w:rPr>
          <w:lang w:val="en-GB"/>
        </w:rPr>
        <w:t xml:space="preserve"> rash (</w:t>
      </w:r>
      <w:proofErr w:type="spellStart"/>
      <w:r w:rsidR="00B006AC" w:rsidRPr="006432B2">
        <w:rPr>
          <w:lang w:val="en-GB"/>
        </w:rPr>
        <w:t>purpura</w:t>
      </w:r>
      <w:proofErr w:type="spellEnd"/>
      <w:r w:rsidR="00B006AC" w:rsidRPr="006432B2">
        <w:rPr>
          <w:lang w:val="en-GB"/>
        </w:rPr>
        <w:t>), thrombophlebitis.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C96AAE" w:rsidRPr="006432B2" w:rsidRDefault="00B006AC" w:rsidP="006432B2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Metabolism and nutrition disorders:</w:t>
      </w:r>
      <w:r w:rsidR="00626E3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="00C44FDE" w:rsidRPr="006432B2">
        <w:rPr>
          <w:lang w:val="en-GB"/>
        </w:rPr>
        <w:t>hypoglycaemia</w:t>
      </w:r>
      <w:r w:rsidR="00EB7FC8" w:rsidRPr="006432B2">
        <w:rPr>
          <w:lang w:val="en-GB"/>
        </w:rPr>
        <w:t xml:space="preserve"> </w:t>
      </w:r>
      <w:r w:rsidR="001E3FA1" w:rsidRPr="006432B2">
        <w:rPr>
          <w:lang w:val="en-GB"/>
        </w:rPr>
        <w:t xml:space="preserve">which may cause </w:t>
      </w:r>
      <w:r w:rsidR="00C44FDE" w:rsidRPr="006432B2">
        <w:rPr>
          <w:lang w:val="en-GB"/>
        </w:rPr>
        <w:t>hypoglycaemia</w:t>
      </w:r>
      <w:r w:rsidR="001E3FA1" w:rsidRPr="006432B2">
        <w:rPr>
          <w:lang w:val="en-GB"/>
        </w:rPr>
        <w:t xml:space="preserve">-like symptoms </w:t>
      </w:r>
      <w:r w:rsidR="00EB7FC8" w:rsidRPr="006432B2">
        <w:rPr>
          <w:lang w:val="en-GB"/>
        </w:rPr>
        <w:t xml:space="preserve">(dizziness, increased sweeting, headache, vision disorders) </w:t>
      </w:r>
      <w:r w:rsidR="001E3FA1" w:rsidRPr="006432B2">
        <w:rPr>
          <w:lang w:val="en-GB"/>
        </w:rPr>
        <w:t xml:space="preserve">due to </w:t>
      </w:r>
      <w:r w:rsidR="00EB7FC8" w:rsidRPr="006432B2">
        <w:rPr>
          <w:lang w:val="en-GB"/>
        </w:rPr>
        <w:t>improved glucose disposal.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626E3E" w:rsidRPr="006432B2" w:rsidRDefault="001E3FA1" w:rsidP="006432B2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Immune system disorders:</w:t>
      </w:r>
      <w:r w:rsidR="00626E3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skin rash, </w:t>
      </w:r>
      <w:r w:rsidRPr="006432B2">
        <w:rPr>
          <w:lang w:val="en-GB"/>
        </w:rPr>
        <w:t>urticaria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, pruritus, eczema and systemic reactions up to anaphylactic shock.</w:t>
      </w:r>
    </w:p>
    <w:p w:rsidR="00ED6E5B" w:rsidRPr="006432B2" w:rsidRDefault="001E3FA1" w:rsidP="006432B2">
      <w:pPr>
        <w:pStyle w:val="Style8"/>
        <w:widowControl/>
        <w:spacing w:line="240" w:lineRule="auto"/>
        <w:jc w:val="both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Cardiac and vascular system disorders:</w:t>
      </w:r>
      <w:r w:rsidR="00C44FD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="00C44FDE" w:rsidRPr="006432B2">
        <w:rPr>
          <w:lang w:val="en-GB"/>
        </w:rPr>
        <w:t xml:space="preserve">in fast </w:t>
      </w:r>
      <w:r w:rsidRPr="006432B2">
        <w:rPr>
          <w:lang w:val="en-GB"/>
        </w:rPr>
        <w:t>intravenous injection cardiac pain, tachycardia which are self-localizing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626E3E" w:rsidRPr="006432B2" w:rsidRDefault="001E3FA1" w:rsidP="006432B2">
      <w:pPr>
        <w:pStyle w:val="Style8"/>
        <w:widowControl/>
        <w:spacing w:line="240" w:lineRule="auto"/>
        <w:jc w:val="both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5"/>
          <w:color w:val="auto"/>
          <w:sz w:val="24"/>
          <w:szCs w:val="24"/>
          <w:lang w:val="en-GB" w:eastAsia="uk-UA"/>
        </w:rPr>
        <w:t>Other:</w:t>
      </w:r>
      <w:r w:rsidR="00626E3E" w:rsidRPr="006432B2">
        <w:rPr>
          <w:rStyle w:val="FontStyle15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Injection site reactions, weakness.</w:t>
      </w:r>
    </w:p>
    <w:p w:rsidR="00626E3E" w:rsidRPr="006432B2" w:rsidRDefault="00626E3E" w:rsidP="00C05AF1">
      <w:pPr>
        <w:pStyle w:val="Style5"/>
        <w:widowControl/>
        <w:jc w:val="left"/>
        <w:rPr>
          <w:lang w:val="en-GB"/>
        </w:rPr>
      </w:pPr>
    </w:p>
    <w:p w:rsidR="006432B2" w:rsidRDefault="001E3FA1" w:rsidP="00C05AF1">
      <w:pPr>
        <w:pStyle w:val="Style5"/>
        <w:widowControl/>
        <w:jc w:val="left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Shelf life</w:t>
      </w:r>
    </w:p>
    <w:p w:rsidR="00626E3E" w:rsidRPr="006432B2" w:rsidRDefault="001E3FA1" w:rsidP="00C05AF1">
      <w:pPr>
        <w:pStyle w:val="Style5"/>
        <w:widowControl/>
        <w:jc w:val="left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5 years.</w:t>
      </w:r>
    </w:p>
    <w:p w:rsidR="00626E3E" w:rsidRPr="006432B2" w:rsidRDefault="001E3FA1" w:rsidP="00C05AF1">
      <w:pPr>
        <w:pStyle w:val="Style7"/>
        <w:widowControl/>
        <w:spacing w:line="240" w:lineRule="auto"/>
        <w:jc w:val="left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Do not use this medicine after the expiry date stated on </w:t>
      </w:r>
      <w:r w:rsidR="00586174">
        <w:rPr>
          <w:rStyle w:val="FontStyle13"/>
          <w:color w:val="auto"/>
          <w:sz w:val="24"/>
          <w:szCs w:val="24"/>
          <w:lang w:val="en-GB" w:eastAsia="uk-UA"/>
        </w:rPr>
        <w:t>the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carton.</w:t>
      </w:r>
    </w:p>
    <w:p w:rsidR="00626E3E" w:rsidRPr="006432B2" w:rsidRDefault="00626E3E" w:rsidP="00C05AF1">
      <w:pPr>
        <w:pStyle w:val="Style7"/>
        <w:widowControl/>
        <w:spacing w:line="240" w:lineRule="auto"/>
        <w:rPr>
          <w:lang w:val="en-GB"/>
        </w:rPr>
      </w:pPr>
    </w:p>
    <w:p w:rsidR="006432B2" w:rsidRDefault="001E3FA1" w:rsidP="00C05AF1">
      <w:pPr>
        <w:pStyle w:val="Style7"/>
        <w:widowControl/>
        <w:spacing w:line="240" w:lineRule="auto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Storage</w:t>
      </w:r>
    </w:p>
    <w:p w:rsidR="00626E3E" w:rsidRPr="006432B2" w:rsidRDefault="001E3FA1" w:rsidP="00C05AF1">
      <w:pPr>
        <w:pStyle w:val="Style7"/>
        <w:widowControl/>
        <w:spacing w:line="240" w:lineRule="auto"/>
        <w:rPr>
          <w:rStyle w:val="FontStyle13"/>
          <w:color w:val="auto"/>
          <w:sz w:val="24"/>
          <w:szCs w:val="24"/>
          <w:lang w:val="en-GB" w:eastAsia="uk-UA"/>
        </w:rPr>
      </w:pPr>
      <w:proofErr w:type="gramStart"/>
      <w:r w:rsidRPr="006432B2">
        <w:rPr>
          <w:rStyle w:val="FontStyle12"/>
          <w:b w:val="0"/>
          <w:bCs w:val="0"/>
          <w:color w:val="auto"/>
          <w:sz w:val="24"/>
          <w:szCs w:val="24"/>
          <w:lang w:val="en-GB" w:eastAsia="uk-UA"/>
        </w:rPr>
        <w:t xml:space="preserve">Store </w:t>
      </w:r>
      <w:r w:rsidR="00586174" w:rsidRPr="006432B2">
        <w:rPr>
          <w:rStyle w:val="FontStyle12"/>
          <w:b w:val="0"/>
          <w:bCs w:val="0"/>
          <w:color w:val="auto"/>
          <w:sz w:val="24"/>
          <w:szCs w:val="24"/>
          <w:lang w:val="en-GB" w:eastAsia="uk-UA"/>
        </w:rPr>
        <w:t>in the original package</w:t>
      </w:r>
      <w:r w:rsidR="00586174" w:rsidRPr="006432B2">
        <w:rPr>
          <w:rStyle w:val="FontStyle12"/>
          <w:b w:val="0"/>
          <w:bCs w:val="0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rStyle w:val="FontStyle12"/>
          <w:b w:val="0"/>
          <w:bCs w:val="0"/>
          <w:color w:val="auto"/>
          <w:sz w:val="24"/>
          <w:szCs w:val="24"/>
          <w:lang w:val="en-GB" w:eastAsia="uk-UA"/>
        </w:rPr>
        <w:t>below 25 °С.</w:t>
      </w:r>
      <w:proofErr w:type="gramEnd"/>
      <w:r w:rsidR="00626E3E" w:rsidRPr="006432B2">
        <w:rPr>
          <w:rStyle w:val="FontStyle12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Keep out of the reach of children.</w:t>
      </w:r>
      <w:r w:rsidR="00586174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626E3E" w:rsidRPr="006432B2" w:rsidRDefault="00626E3E" w:rsidP="00C05AF1">
      <w:pPr>
        <w:pStyle w:val="Style8"/>
        <w:widowControl/>
        <w:spacing w:line="240" w:lineRule="auto"/>
        <w:jc w:val="both"/>
        <w:rPr>
          <w:lang w:val="en-GB"/>
        </w:rPr>
      </w:pPr>
    </w:p>
    <w:p w:rsidR="006432B2" w:rsidRDefault="001E3FA1" w:rsidP="00C05AF1">
      <w:pPr>
        <w:pStyle w:val="Style8"/>
        <w:widowControl/>
        <w:spacing w:line="240" w:lineRule="auto"/>
        <w:jc w:val="both"/>
        <w:rPr>
          <w:rStyle w:val="FontStyle14"/>
          <w:color w:val="auto"/>
          <w:sz w:val="24"/>
          <w:szCs w:val="24"/>
          <w:lang w:val="en-GB" w:eastAsia="uk-UA"/>
        </w:rPr>
      </w:pPr>
      <w:r w:rsidRPr="006432B2">
        <w:rPr>
          <w:rStyle w:val="FontStyle14"/>
          <w:color w:val="auto"/>
          <w:sz w:val="24"/>
          <w:szCs w:val="24"/>
          <w:lang w:val="en-GB" w:eastAsia="uk-UA"/>
        </w:rPr>
        <w:t>Incompatibilities</w:t>
      </w:r>
    </w:p>
    <w:p w:rsidR="00626E3E" w:rsidRPr="006432B2" w:rsidRDefault="005F47E8" w:rsidP="00C05AF1">
      <w:pPr>
        <w:pStyle w:val="Style8"/>
        <w:widowControl/>
        <w:spacing w:line="240" w:lineRule="auto"/>
        <w:jc w:val="both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Dialipon®</w:t>
      </w:r>
      <w:r w:rsidR="001E3FA1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react </w:t>
      </w:r>
      <w:r w:rsidRPr="006432B2">
        <w:rPr>
          <w:rStyle w:val="FontStyle14"/>
          <w:b w:val="0"/>
          <w:color w:val="auto"/>
          <w:sz w:val="24"/>
          <w:szCs w:val="24"/>
          <w:lang w:val="en-GB" w:eastAsia="uk-UA"/>
        </w:rPr>
        <w:t>in vitro</w:t>
      </w:r>
      <w:r w:rsidRPr="006432B2">
        <w:rPr>
          <w:rStyle w:val="FontStyle14"/>
          <w:color w:val="auto"/>
          <w:sz w:val="24"/>
          <w:szCs w:val="24"/>
          <w:lang w:val="en-GB" w:eastAsia="uk-UA"/>
        </w:rPr>
        <w:t xml:space="preserve"> </w:t>
      </w:r>
      <w:r w:rsidR="001E3FA1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with ions complex metals (e.g. </w:t>
      </w:r>
      <w:proofErr w:type="spellStart"/>
      <w:r w:rsidR="001E3FA1" w:rsidRPr="006432B2">
        <w:rPr>
          <w:rStyle w:val="FontStyle13"/>
          <w:color w:val="auto"/>
          <w:sz w:val="24"/>
          <w:szCs w:val="24"/>
          <w:lang w:val="en-GB" w:eastAsia="uk-UA"/>
        </w:rPr>
        <w:t>cisplatine</w:t>
      </w:r>
      <w:proofErr w:type="spellEnd"/>
      <w:r w:rsidR="001E3FA1" w:rsidRPr="006432B2">
        <w:rPr>
          <w:rStyle w:val="FontStyle13"/>
          <w:color w:val="auto"/>
          <w:sz w:val="24"/>
          <w:szCs w:val="24"/>
          <w:lang w:val="en-GB" w:eastAsia="uk-UA"/>
        </w:rPr>
        <w:t>), therefore the product may lower their effects.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lang w:val="en-GB"/>
        </w:rPr>
        <w:t>Dialipon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®</w:t>
      </w:r>
      <w:r w:rsidRPr="006432B2">
        <w:rPr>
          <w:lang w:val="en-GB"/>
        </w:rPr>
        <w:t xml:space="preserve"> forms slightly soluble complexes with sugar therefore Dialipon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®</w:t>
      </w:r>
      <w:r w:rsidRPr="006432B2">
        <w:rPr>
          <w:lang w:val="en-GB"/>
        </w:rPr>
        <w:t xml:space="preserve"> infusion solution is incompatible with glucose and fructose and Ringer’s solutions.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lang w:val="en-GB"/>
        </w:rPr>
        <w:t xml:space="preserve">The product is incompatible with solutions containing compounds which react with SH-groups or </w:t>
      </w:r>
      <w:proofErr w:type="spellStart"/>
      <w:r w:rsidRPr="006432B2">
        <w:rPr>
          <w:lang w:val="en-GB"/>
        </w:rPr>
        <w:t>disulfide</w:t>
      </w:r>
      <w:proofErr w:type="spellEnd"/>
      <w:r w:rsidRPr="006432B2">
        <w:rPr>
          <w:lang w:val="en-GB"/>
        </w:rPr>
        <w:t xml:space="preserve"> bridges.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  <w:r w:rsidRPr="006432B2">
        <w:rPr>
          <w:lang w:val="en-GB"/>
        </w:rPr>
        <w:t xml:space="preserve">0.9 % sodium chloride 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>is used as a solvent.</w:t>
      </w:r>
    </w:p>
    <w:p w:rsidR="00626E3E" w:rsidRPr="006432B2" w:rsidRDefault="00626E3E" w:rsidP="00C05AF1">
      <w:pPr>
        <w:pStyle w:val="Style7"/>
        <w:widowControl/>
        <w:spacing w:line="240" w:lineRule="auto"/>
        <w:jc w:val="left"/>
        <w:rPr>
          <w:lang w:val="en-GB"/>
        </w:rPr>
      </w:pPr>
    </w:p>
    <w:p w:rsidR="006432B2" w:rsidRDefault="005F47E8" w:rsidP="00C05AF1">
      <w:pPr>
        <w:pStyle w:val="Style7"/>
        <w:widowControl/>
        <w:spacing w:line="240" w:lineRule="auto"/>
        <w:jc w:val="left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lastRenderedPageBreak/>
        <w:t>Nature and contents of container</w:t>
      </w:r>
    </w:p>
    <w:p w:rsidR="006432B2" w:rsidRDefault="005F47E8" w:rsidP="00C05AF1">
      <w:pPr>
        <w:pStyle w:val="Style7"/>
        <w:widowControl/>
        <w:spacing w:line="240" w:lineRule="auto"/>
        <w:jc w:val="left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 xml:space="preserve">10 or 20 </w:t>
      </w:r>
      <w:r w:rsidR="00A15068" w:rsidRPr="006432B2">
        <w:rPr>
          <w:lang w:val="en-GB"/>
        </w:rPr>
        <w:t>mL</w:t>
      </w:r>
      <w:r w:rsidRPr="006432B2">
        <w:rPr>
          <w:lang w:val="en-GB"/>
        </w:rPr>
        <w:t xml:space="preserve"> in an ampoule, 5 or 10 ampoules in a carton.</w:t>
      </w:r>
      <w:r w:rsidR="00626E3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</w:t>
      </w:r>
    </w:p>
    <w:p w:rsidR="00626E3E" w:rsidRPr="006432B2" w:rsidRDefault="005F47E8" w:rsidP="00C05AF1">
      <w:pPr>
        <w:pStyle w:val="Style7"/>
        <w:widowControl/>
        <w:spacing w:line="240" w:lineRule="auto"/>
        <w:jc w:val="left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lang w:val="en-GB"/>
        </w:rPr>
        <w:t>5 ampoules per</w:t>
      </w:r>
      <w:r w:rsidRPr="006432B2">
        <w:rPr>
          <w:rStyle w:val="FontStyle13"/>
          <w:color w:val="auto"/>
          <w:sz w:val="24"/>
          <w:szCs w:val="24"/>
          <w:lang w:val="en-GB" w:eastAsia="uk-UA"/>
        </w:rPr>
        <w:t xml:space="preserve"> blister; 1 or 2 blisters per carton.</w:t>
      </w:r>
    </w:p>
    <w:p w:rsidR="00C44FDE" w:rsidRPr="006432B2" w:rsidRDefault="00C44FDE" w:rsidP="00C05AF1">
      <w:pPr>
        <w:pStyle w:val="Style2"/>
        <w:widowControl/>
        <w:rPr>
          <w:rStyle w:val="FontStyle12"/>
          <w:color w:val="auto"/>
          <w:sz w:val="24"/>
          <w:szCs w:val="24"/>
          <w:lang w:val="en-GB" w:eastAsia="uk-UA"/>
        </w:rPr>
      </w:pPr>
    </w:p>
    <w:p w:rsidR="006432B2" w:rsidRDefault="005F47E8" w:rsidP="00C05AF1">
      <w:pPr>
        <w:pStyle w:val="Style2"/>
        <w:widowControl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Prescription status</w:t>
      </w:r>
    </w:p>
    <w:p w:rsidR="00626E3E" w:rsidRPr="006432B2" w:rsidRDefault="005F47E8" w:rsidP="00C05AF1">
      <w:pPr>
        <w:pStyle w:val="Style2"/>
        <w:widowControl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Prescription only.</w:t>
      </w:r>
    </w:p>
    <w:p w:rsidR="00C44FDE" w:rsidRPr="006432B2" w:rsidRDefault="00C44FDE" w:rsidP="00C05AF1">
      <w:pPr>
        <w:pStyle w:val="Style7"/>
        <w:widowControl/>
        <w:spacing w:line="240" w:lineRule="auto"/>
        <w:jc w:val="left"/>
        <w:rPr>
          <w:rStyle w:val="FontStyle12"/>
          <w:color w:val="auto"/>
          <w:sz w:val="24"/>
          <w:szCs w:val="24"/>
          <w:lang w:val="en-GB" w:eastAsia="uk-UA"/>
        </w:rPr>
      </w:pPr>
    </w:p>
    <w:p w:rsidR="006432B2" w:rsidRDefault="005F47E8" w:rsidP="00C05AF1">
      <w:pPr>
        <w:pStyle w:val="Style7"/>
        <w:widowControl/>
        <w:spacing w:line="240" w:lineRule="auto"/>
        <w:jc w:val="left"/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Manufacturer</w:t>
      </w:r>
    </w:p>
    <w:p w:rsidR="00626E3E" w:rsidRPr="006432B2" w:rsidRDefault="005F47E8" w:rsidP="00C05AF1">
      <w:pPr>
        <w:pStyle w:val="Style7"/>
        <w:widowControl/>
        <w:spacing w:line="240" w:lineRule="auto"/>
        <w:jc w:val="left"/>
        <w:rPr>
          <w:rStyle w:val="FontStyle13"/>
          <w:color w:val="auto"/>
          <w:sz w:val="24"/>
          <w:szCs w:val="24"/>
          <w:lang w:val="en-GB" w:eastAsia="uk-UA"/>
        </w:rPr>
      </w:pPr>
      <w:r w:rsidRPr="006432B2">
        <w:rPr>
          <w:rStyle w:val="FontStyle13"/>
          <w:color w:val="auto"/>
          <w:sz w:val="24"/>
          <w:szCs w:val="24"/>
          <w:lang w:val="en-GB" w:eastAsia="uk-UA"/>
        </w:rPr>
        <w:t>JSC F</w:t>
      </w:r>
      <w:r w:rsidR="00C44FDE" w:rsidRPr="006432B2">
        <w:rPr>
          <w:rStyle w:val="FontStyle13"/>
          <w:color w:val="auto"/>
          <w:sz w:val="24"/>
          <w:szCs w:val="24"/>
          <w:lang w:val="en-GB" w:eastAsia="uk-UA"/>
        </w:rPr>
        <w:t>armak</w:t>
      </w:r>
      <w:bookmarkStart w:id="0" w:name="_GoBack"/>
      <w:bookmarkEnd w:id="0"/>
    </w:p>
    <w:p w:rsidR="00C44FDE" w:rsidRPr="006432B2" w:rsidRDefault="00C44FDE" w:rsidP="00C05AF1">
      <w:pPr>
        <w:pStyle w:val="Style2"/>
        <w:widowControl/>
        <w:tabs>
          <w:tab w:val="left" w:pos="3708"/>
        </w:tabs>
        <w:rPr>
          <w:rStyle w:val="FontStyle12"/>
          <w:color w:val="auto"/>
          <w:sz w:val="24"/>
          <w:szCs w:val="24"/>
          <w:lang w:val="en-GB" w:eastAsia="uk-UA"/>
        </w:rPr>
      </w:pPr>
    </w:p>
    <w:p w:rsidR="006432B2" w:rsidRDefault="005F47E8" w:rsidP="00C05AF1">
      <w:pPr>
        <w:pStyle w:val="Style2"/>
        <w:widowControl/>
        <w:tabs>
          <w:tab w:val="left" w:pos="3708"/>
        </w:tabs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Location</w:t>
      </w:r>
    </w:p>
    <w:p w:rsidR="00C44FDE" w:rsidRDefault="006432B2" w:rsidP="00C05AF1">
      <w:pPr>
        <w:pStyle w:val="Style2"/>
        <w:widowControl/>
        <w:tabs>
          <w:tab w:val="left" w:pos="3708"/>
        </w:tabs>
        <w:rPr>
          <w:rStyle w:val="FontStyle13"/>
          <w:color w:val="auto"/>
          <w:sz w:val="24"/>
          <w:szCs w:val="24"/>
          <w:lang w:val="en-GB" w:eastAsia="uk-UA"/>
        </w:rPr>
      </w:pPr>
      <w:r>
        <w:rPr>
          <w:rStyle w:val="FontStyle13"/>
          <w:color w:val="auto"/>
          <w:sz w:val="24"/>
          <w:szCs w:val="24"/>
          <w:lang w:val="en-GB" w:eastAsia="uk-UA"/>
        </w:rPr>
        <w:t>74</w:t>
      </w:r>
      <w:r w:rsidR="00C44FDE" w:rsidRPr="006432B2">
        <w:rPr>
          <w:rStyle w:val="FontStyle13"/>
          <w:color w:val="auto"/>
          <w:sz w:val="24"/>
          <w:szCs w:val="24"/>
          <w:lang w:val="en-GB" w:eastAsia="uk-UA"/>
        </w:rPr>
        <w:t xml:space="preserve">, Frunze str., Kyiv, </w:t>
      </w:r>
      <w:r w:rsidR="005F47E8" w:rsidRPr="006432B2">
        <w:rPr>
          <w:rStyle w:val="FontStyle13"/>
          <w:color w:val="auto"/>
          <w:sz w:val="24"/>
          <w:szCs w:val="24"/>
          <w:lang w:val="en-GB" w:eastAsia="uk-UA"/>
        </w:rPr>
        <w:t>04080</w:t>
      </w:r>
      <w:r w:rsidR="00C44FDE" w:rsidRPr="006432B2">
        <w:rPr>
          <w:rStyle w:val="FontStyle13"/>
          <w:color w:val="auto"/>
          <w:sz w:val="24"/>
          <w:szCs w:val="24"/>
          <w:lang w:val="en-GB" w:eastAsia="uk-UA"/>
        </w:rPr>
        <w:t>.</w:t>
      </w:r>
    </w:p>
    <w:p w:rsidR="006432B2" w:rsidRPr="006432B2" w:rsidRDefault="006432B2" w:rsidP="00C05AF1">
      <w:pPr>
        <w:pStyle w:val="Style2"/>
        <w:widowControl/>
        <w:tabs>
          <w:tab w:val="left" w:pos="3708"/>
        </w:tabs>
        <w:rPr>
          <w:rStyle w:val="FontStyle12"/>
          <w:color w:val="auto"/>
          <w:sz w:val="24"/>
          <w:szCs w:val="24"/>
          <w:lang w:val="en-GB" w:eastAsia="uk-UA"/>
        </w:rPr>
      </w:pPr>
    </w:p>
    <w:p w:rsidR="00626E3E" w:rsidRDefault="005F47E8" w:rsidP="00C05AF1">
      <w:pPr>
        <w:pStyle w:val="Style2"/>
        <w:widowControl/>
        <w:tabs>
          <w:tab w:val="left" w:pos="3708"/>
        </w:tabs>
        <w:rPr>
          <w:rStyle w:val="FontStyle12"/>
          <w:color w:val="auto"/>
          <w:sz w:val="24"/>
          <w:szCs w:val="24"/>
          <w:lang w:val="en-GB" w:eastAsia="uk-UA"/>
        </w:rPr>
      </w:pPr>
      <w:r w:rsidRPr="006432B2">
        <w:rPr>
          <w:rStyle w:val="FontStyle12"/>
          <w:color w:val="auto"/>
          <w:sz w:val="24"/>
          <w:szCs w:val="24"/>
          <w:lang w:val="en-GB" w:eastAsia="uk-UA"/>
        </w:rPr>
        <w:t>Date of the last revision</w:t>
      </w:r>
    </w:p>
    <w:p w:rsidR="006432B2" w:rsidRPr="006432B2" w:rsidRDefault="006432B2" w:rsidP="00C05AF1">
      <w:pPr>
        <w:pStyle w:val="Style2"/>
        <w:widowControl/>
        <w:tabs>
          <w:tab w:val="left" w:pos="3708"/>
        </w:tabs>
        <w:rPr>
          <w:i/>
          <w:iCs/>
          <w:lang w:val="en-GB" w:eastAsia="uk-UA"/>
        </w:rPr>
      </w:pPr>
      <w:r>
        <w:rPr>
          <w:lang w:val="en-US"/>
        </w:rPr>
        <w:t>27.04.2017.</w:t>
      </w:r>
      <w:r w:rsidR="00F246FD">
        <w:rPr>
          <w:i/>
          <w:iCs/>
          <w:lang w:val="en-GB" w:eastAsia="uk-UA"/>
        </w:rPr>
        <w:t xml:space="preserve"> </w:t>
      </w:r>
    </w:p>
    <w:sectPr w:rsidR="006432B2" w:rsidRPr="006432B2" w:rsidSect="00C05AF1">
      <w:pgSz w:w="11905" w:h="16837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44" w:rsidRDefault="00610D44">
      <w:r>
        <w:separator/>
      </w:r>
    </w:p>
  </w:endnote>
  <w:endnote w:type="continuationSeparator" w:id="0">
    <w:p w:rsidR="00610D44" w:rsidRDefault="0061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44" w:rsidRDefault="00610D44">
      <w:r>
        <w:separator/>
      </w:r>
    </w:p>
  </w:footnote>
  <w:footnote w:type="continuationSeparator" w:id="0">
    <w:p w:rsidR="00610D44" w:rsidRDefault="0061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C8"/>
    <w:rsid w:val="00012D76"/>
    <w:rsid w:val="000D5319"/>
    <w:rsid w:val="00180D28"/>
    <w:rsid w:val="001D7480"/>
    <w:rsid w:val="001E3FA1"/>
    <w:rsid w:val="002334AE"/>
    <w:rsid w:val="00275EC8"/>
    <w:rsid w:val="00276E02"/>
    <w:rsid w:val="00296CD0"/>
    <w:rsid w:val="002A3A94"/>
    <w:rsid w:val="002B7320"/>
    <w:rsid w:val="002D222F"/>
    <w:rsid w:val="003728CD"/>
    <w:rsid w:val="003A6AC2"/>
    <w:rsid w:val="004129B1"/>
    <w:rsid w:val="004754AC"/>
    <w:rsid w:val="00502E25"/>
    <w:rsid w:val="00537914"/>
    <w:rsid w:val="00540B8C"/>
    <w:rsid w:val="0055510B"/>
    <w:rsid w:val="00586174"/>
    <w:rsid w:val="0059524E"/>
    <w:rsid w:val="005F47E8"/>
    <w:rsid w:val="0061063D"/>
    <w:rsid w:val="00610D44"/>
    <w:rsid w:val="00626811"/>
    <w:rsid w:val="00626E3E"/>
    <w:rsid w:val="006432B2"/>
    <w:rsid w:val="006808F0"/>
    <w:rsid w:val="006D6FEA"/>
    <w:rsid w:val="007531A8"/>
    <w:rsid w:val="007E7BB0"/>
    <w:rsid w:val="00861381"/>
    <w:rsid w:val="0087556B"/>
    <w:rsid w:val="008C298F"/>
    <w:rsid w:val="008D275A"/>
    <w:rsid w:val="00976907"/>
    <w:rsid w:val="009A3B3C"/>
    <w:rsid w:val="00A15068"/>
    <w:rsid w:val="00A62404"/>
    <w:rsid w:val="00A76A7D"/>
    <w:rsid w:val="00A84E45"/>
    <w:rsid w:val="00AA4707"/>
    <w:rsid w:val="00AF3AD7"/>
    <w:rsid w:val="00B006AC"/>
    <w:rsid w:val="00B17CA0"/>
    <w:rsid w:val="00B21770"/>
    <w:rsid w:val="00B71EB1"/>
    <w:rsid w:val="00C05AF1"/>
    <w:rsid w:val="00C44FDE"/>
    <w:rsid w:val="00C748E9"/>
    <w:rsid w:val="00C96AAE"/>
    <w:rsid w:val="00CA46DE"/>
    <w:rsid w:val="00CB697B"/>
    <w:rsid w:val="00CC014C"/>
    <w:rsid w:val="00CC3487"/>
    <w:rsid w:val="00D11886"/>
    <w:rsid w:val="00D3652B"/>
    <w:rsid w:val="00D46B56"/>
    <w:rsid w:val="00DC4455"/>
    <w:rsid w:val="00DD6A9C"/>
    <w:rsid w:val="00E53BF5"/>
    <w:rsid w:val="00E936E2"/>
    <w:rsid w:val="00EB2423"/>
    <w:rsid w:val="00EB7FC8"/>
    <w:rsid w:val="00ED6E5B"/>
    <w:rsid w:val="00F246FD"/>
    <w:rsid w:val="00F96DEA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77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1" w:lineRule="exact"/>
      <w:jc w:val="center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81" w:lineRule="exact"/>
    </w:pPr>
  </w:style>
  <w:style w:type="paragraph" w:customStyle="1" w:styleId="Style9">
    <w:name w:val="Style9"/>
    <w:basedOn w:val="a"/>
    <w:uiPriority w:val="99"/>
    <w:pPr>
      <w:spacing w:line="216" w:lineRule="exact"/>
      <w:jc w:val="center"/>
    </w:pPr>
  </w:style>
  <w:style w:type="paragraph" w:customStyle="1" w:styleId="Style10">
    <w:name w:val="Style10"/>
    <w:basedOn w:val="a"/>
    <w:uiPriority w:val="99"/>
    <w:pPr>
      <w:spacing w:line="605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77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1" w:lineRule="exact"/>
      <w:jc w:val="center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81" w:lineRule="exact"/>
    </w:pPr>
  </w:style>
  <w:style w:type="paragraph" w:customStyle="1" w:styleId="Style9">
    <w:name w:val="Style9"/>
    <w:basedOn w:val="a"/>
    <w:uiPriority w:val="99"/>
    <w:pPr>
      <w:spacing w:line="216" w:lineRule="exact"/>
      <w:jc w:val="center"/>
    </w:pPr>
  </w:style>
  <w:style w:type="paragraph" w:customStyle="1" w:styleId="Style10">
    <w:name w:val="Style10"/>
    <w:basedOn w:val="a"/>
    <w:uiPriority w:val="99"/>
    <w:pPr>
      <w:spacing w:line="605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Natali</cp:lastModifiedBy>
  <cp:revision>6</cp:revision>
  <dcterms:created xsi:type="dcterms:W3CDTF">2017-11-27T14:07:00Z</dcterms:created>
  <dcterms:modified xsi:type="dcterms:W3CDTF">2017-12-01T10:25:00Z</dcterms:modified>
</cp:coreProperties>
</file>