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 Міністерства охорони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здоров’я України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12.08.2019 № 1772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Реєстраційне посвідчення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UA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/17556/01/01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1D9" w:rsidRPr="001F71D9" w:rsidRDefault="001F71D9" w:rsidP="001F71D9">
      <w:pPr>
        <w:keepNext/>
        <w:spacing w:after="0" w:line="240" w:lineRule="auto"/>
        <w:ind w:left="5664" w:firstLine="573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ЗМІНИ</w:t>
      </w:r>
      <w:r w:rsidRPr="001F71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ВНЕСЕНО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ind w:left="5664" w:firstLine="57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Наказ Міністерства охорони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ind w:left="5664" w:firstLine="57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здоров'я України</w:t>
      </w:r>
    </w:p>
    <w:p w:rsidR="001F71D9" w:rsidRPr="001F71D9" w:rsidRDefault="001F71D9" w:rsidP="001F71D9">
      <w:pPr>
        <w:widowControl w:val="0"/>
        <w:autoSpaceDE w:val="0"/>
        <w:autoSpaceDN w:val="0"/>
        <w:spacing w:after="0" w:line="240" w:lineRule="auto"/>
        <w:ind w:left="5664" w:firstLine="57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30.11.</w:t>
      </w:r>
      <w:r w:rsidRPr="001F71D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>2020</w:t>
      </w:r>
      <w:r w:rsidRPr="001F71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 2759</w:t>
      </w:r>
    </w:p>
    <w:p w:rsidR="001F71D9" w:rsidRPr="001F71D9" w:rsidRDefault="001F71D9" w:rsidP="001F71D9">
      <w:pPr>
        <w:widowControl w:val="0"/>
        <w:autoSpaceDE w:val="0"/>
        <w:autoSpaceDN w:val="0"/>
        <w:spacing w:after="0" w:line="240" w:lineRule="auto"/>
        <w:ind w:left="5664" w:hanging="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spacing w:after="0" w:line="240" w:lineRule="auto"/>
        <w:ind w:left="5664" w:hanging="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ІНСТРУКЦІЯ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медичного застосування лікарського засобу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АЙГЛІП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(AIGLIP)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Склад: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діюча речовина:</w:t>
      </w:r>
      <w:r w:rsidRPr="001F7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таблетка містить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50 мг; 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допоміжні речовини: </w:t>
      </w: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целюлоза мікрокристалічна, лактоза безводна,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гідроксипропілцелюлоза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низькозаміщена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магнію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стеарат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Лікарська форма.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Основні фізико-хімічні властивості: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круглі, з плоскою поверхнею, зі скошеними краями, від білого до світло жовтуватого кольору.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Фармакотерапевтична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група.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Гіпоглікемічні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синтетичні та інші засоби. Інгібітори дипептидилпептидази-4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Код АТХ A10B H02.</w:t>
      </w:r>
    </w:p>
    <w:p w:rsidR="001F71D9" w:rsidRPr="001F71D9" w:rsidRDefault="001F71D9" w:rsidP="001F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Фармакологічні властивості.</w:t>
      </w:r>
    </w:p>
    <w:p w:rsidR="001F71D9" w:rsidRPr="001F71D9" w:rsidRDefault="001F71D9" w:rsidP="001F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Фармакодинаміка</w:t>
      </w:r>
      <w:proofErr w:type="spellEnd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1D9" w:rsidRPr="001F71D9" w:rsidRDefault="001F71D9" w:rsidP="001F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належить до класу речовин, що посилюють роботу бета-клітин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острівкового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апарату підшлункової залози, є потужним та селективним інгібітором дипептидилпептидази-4 (DPP-4). </w:t>
      </w:r>
    </w:p>
    <w:p w:rsidR="001F71D9" w:rsidRPr="001F71D9" w:rsidRDefault="001F71D9" w:rsidP="001F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призводить до швидкого та повного припинення активності DPP-4.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Інгібування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DPP-4 спричиняє підвищення ендогенного рівня гормонів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інкретину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ГПП-1 (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глюкагоноподібний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пептид 1) та ГІП (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глюкозозалежний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інсулінотропний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пептид) під час голодування та після вживання їжі. </w:t>
      </w:r>
    </w:p>
    <w:p w:rsidR="001F71D9" w:rsidRPr="001F71D9" w:rsidRDefault="001F71D9" w:rsidP="001F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Внаслідок підвищення ендогенних рівнів цих гормонів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інкретину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покращує чутливість бета-клітин до глюкози, що призводить до посилення секреції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глюкозозалежного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інсуліну. Лікування пацієнтів із діабетом типу II препаратом у дозах від 50 до 100 мг на добу суттєво покращувало дію маркерів функції бета-клітин, включаючи HOMA-β (гомеостатичну модель оцінки функції β-клітин), відношення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проінсуліну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інсуліну та показники чутливості бета-клітин при багаторазовому проведенні тесту толерантності до їжі. У пацієнтів, не хворих на цукровий діабет (з нормальним рівнем глюкози у крові),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спричиняє стимуляції секреції інсуліну або зниження рівнів глюкози. </w:t>
      </w:r>
    </w:p>
    <w:p w:rsidR="001F71D9" w:rsidRPr="001F71D9" w:rsidRDefault="001F71D9" w:rsidP="001F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Внаслідок підвищення ендогенних рівнів ГПП-1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також посилює чутливість альфа-клітин до глюкози, що призводить до підвищення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глюкозозалежної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секреції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глюкагону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Значне зростання співвідношення інсулін-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глюкагон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час гіперглікемії, спричиненої підвищеними рівнями гормону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інкретину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призводить до зниження продукції глюкози  під час голодування та після вживанні їжі, що викликає скорочення глікемії. </w:t>
      </w:r>
    </w:p>
    <w:p w:rsidR="001F71D9" w:rsidRPr="001F71D9" w:rsidRDefault="001F71D9" w:rsidP="001F7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Відомий вплив підвищеного рівня ГПП-1, що полягає у подовженні евакуації вмісту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шлунка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спостерігається під час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Фармакокінетика.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Абсорбція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перорального прийому натще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швидко абсорбується, максимальна концентрація у плазмі крові (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C</w:t>
      </w:r>
      <w:r w:rsidRPr="001F7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спостерігається через 1,7 години. Одночасний прийом з їжею незначно затримує час досягнення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C</w:t>
      </w:r>
      <w:r w:rsidRPr="001F7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плазмі крові - до 2,5 години, але не впливає на загальну експозицію (AUC).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їжею призводить до зниження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C</w:t>
      </w:r>
      <w:r w:rsidRPr="001F7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(19 %). Незважаючи на це, величина змін не є клінічно значущою, тому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uk-UA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можна приймати незалежно від прийому їжі. Абсолютна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біодоступність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 85 %.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Розподіл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Коефіцієнт зв’язування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протеїнами плазми крові низький (9,3 %);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розподіляється рівномірно між плазмою крові та еритроцитами. Середній об’єм розподілу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стадії плато після внутрішньовенного введення (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V</w:t>
      </w:r>
      <w:r w:rsidRPr="001F7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ss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становить </w:t>
      </w:r>
      <w:smartTag w:uri="urn:schemas-microsoft-com:office:smarttags" w:element="metricconverter">
        <w:smartTagPr>
          <w:attr w:name="ProductID" w:val="71 літр"/>
        </w:smartTagPr>
        <w:r w:rsidRPr="001F71D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71 літр</w:t>
        </w:r>
      </w:smartTag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говорить про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екстрасудинний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розподіл. 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Метаболізм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Метаболізм є основним шляхом виведення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людини, що становить  69 % прийнятої дози. Основний метаболіт, LAY151,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фармакологічно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неактивний і являє собою продукт гідролізу складової ціану, що становить 57 % дози та супроводжується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глюкуронідним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(BQS867)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амідним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гідролізом (4 % дози). Дані, отримані у процесі дослідження в умовах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in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vitro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мікросомах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нирок людини, вказують на те, що нирки можуть бути одним із основних органів, який сприяє гідролізу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його основного неактивного метаболіту, LAY151. DPP-4 частково бере участь у гідролізі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було підтверджено дослідженням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in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vivo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щурів із дефіцитом DPP-4.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метаболізується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ензимами цитохрому Р450 в такому об’ємі, який би можна було визначити. Таким чином, не очікується, що супутній прийом лікарських засобів, таких як інгібітори та/або індуктори CYР450, впливатиме на метаболічний кліренс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Дослідження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in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vitro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продемонстрували, що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інгібує і не індукує ензими цитохрому Р450. Таким чином,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найімовірніше, не впливає на метаболічний кліренс одночасно застосовуваних лікарських засобів, що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метаболізуються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CYP 1A2, CYP 2C8, CYP 2C9, CYP 2C19, CYP 2D6, CYP 2E1 або CYP 3A4/5.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Виведення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перорального прийому [</w:t>
      </w:r>
      <w:r w:rsidRPr="001F7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14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С]-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приблизно 85 % дози виводиться із сечею і    15 % дози – з калом. Ниркове виведення незміненого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 23 %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перорально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прийнятої дози. Після внутрішньовенного введення здоровим добровольцям загальний плазмовий та нирковий кліренс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 </w:t>
      </w:r>
      <w:smartTag w:uri="urn:schemas-microsoft-com:office:smarttags" w:element="metricconverter">
        <w:smartTagPr>
          <w:attr w:name="ProductID" w:val="41 л"/>
        </w:smartTagPr>
        <w:r w:rsidRPr="001F71D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41 л</w:t>
        </w:r>
      </w:smartTag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годину та </w:t>
      </w:r>
      <w:smartTag w:uri="urn:schemas-microsoft-com:office:smarttags" w:element="metricconverter">
        <w:smartTagPr>
          <w:attr w:name="ProductID" w:val="13 л"/>
        </w:smartTagPr>
        <w:r w:rsidRPr="001F71D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13 л</w:t>
        </w:r>
      </w:smartTag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годину відповідно. Середній період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напіввиведення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після внутрішньовенного введення становить приблизно 2 години. Період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напіввиведення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після перорального прийому становить приблизно 3 години.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Лінійність/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нелінійність</w:t>
      </w:r>
      <w:proofErr w:type="spellEnd"/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C</w:t>
      </w:r>
      <w:r w:rsidRPr="001F7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AUC збільшуються майже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пропорційно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дозуванню при всьому діапазоні терапевтичного дозування. 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Окремі групи пацієнтів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Стать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спостерігалося ніяких відмінностей у фармакокінетиці препарату у здорових добровольців чоловічої та жіночої статі різного віку та з різним індексом маси тіла (ІМТ).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Інгібування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DPP-4 препаратом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uk-UA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залежить від статі пацієнта.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Захворювання печінки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Вплив порушень функції печінки на фармакокінетику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досліджувався у пацієнтів із незначними, помірними та серйозними порушеннями функції печінки на основі оцінки за шкалою класифікації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Чайлда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-П’ю (від 6 для незначного до 12 для серйозного порушення) порівняно з пацієнтами з нормальною функцією печінки. Експозиція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після прийому разової дози пацієнтами з незначними та помірними порушеннями функції печінки була зниженою (на 20 % та 8 % відповідно), тоді як експозиція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пацієнтів із серйозними порушеннями збільшувалася на 22 %. Максимальна зміна (збільшення або зменшення) експозиції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становила приблизно 30 %, що не вважається клінічно суттєвим. Не було виявлено залежності між тяжкістю порушення функції печінки та змінами експозиції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Захворювання нирок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Відкрите дослідження з багаторазовим застосуванням препарату було проведено з метою оцінки фармакокінетики найнижчих терапевтичних доз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(50 мг один раз на добу) у пацієнтів з різним ступенем хронічного порушення функції нирок, що визначався за кліренсом креатиніну (легке порушення функції нирок від 50 до &lt; 80 мл/хв, помірне порушення функції нирок від 30 до &lt; 50 мл/хв та тяжке порушення функції нирок &lt; 30 мл/хв), порівняно з контрольною групою учасників дослідження з нормальною функцією нирок.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пацієнтів із незначними, помірними та серйозними порушеннями функції нирок AUC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збільшувалася порівняно з пацієнтами з нормальною функцією нирок. Показники AUC метаболітів LAY151 та BQS867 збільшувалися в середньому приблизно в 1,5, 3 та 7 разів у пацієнтів з легкими, помірними і тяжкими порушеннями функції нирок відповідно. Обмежені дані щодо пацієнтів з нирковою недостатністю в термінальній стадії (ННТС) показують, що експозиція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схожою на експозицію препарату у пацієнтів з тяжкими порушеннями функції нирок. Концентрації LAY151 були приблизно в 2-3 рази вищими, ніж у пацієнтів з тяжкими порушеннями функції нирок.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виводився з організму за допомогою гемодіалізу в обмеженій кількості (3 % протягом 3-4-годинного гемодіалізу, який починали проводити через 4 години після застосування препарату).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Пацієнти літнього віку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здорових за іншими показниками пацієнтів (у віці від 70 років) загальна експозиція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(100 мг один раз на добу) збільшувалася на 32 %, а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 18 % порівняно з молодшими здоровими добровольцями (віком від 18 до 40 років).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Ці зміни, однак, не вважаються клінічно значущими.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Інгібіція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DPP-4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залежить від віку пацієнтів у досліджуваних вікових групах.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Раса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Обмежені дані свідчать про те, що расова приналежність не має значущого впливу на фармакокінетику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Клінічні характеристики.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Показання. 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Лікування дорослих пацієнтів з цукровим діабетом типу II.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монотерапія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пацієнтів, у яких застосування тільки дієти та фізичних вправ не забезпечує достатнього контролю, а також для пацієнтів, у яких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метформіну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вважається неприйнятним через наявність протипоказань або непереносимості.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складі подвійної пероральної терапії у комбінації з: 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пацієнтів із недостатнім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глікемічним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контролем, незважаючи на застосування максимально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переносимої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дози при проведенні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монотерапії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пацієнтів із недостатнім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глікемічним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контролем, незважаючи на застосування максимальної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переносимої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дози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сульфонілсечовини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 для пацієнтів, у яких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метформіну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вважається неприйнятним через наявність протипоказань або непереносимості;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тіазолідиндіоном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пацієнтів із недостатнім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глікемічним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контролем, для яких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тіазолідиндіону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вважається прийнятним.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складі потрійної пероральної терапії в комбінації з: 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коли дієта і фізичні вправи разом із подвійною терапією цими лікарськими засобами не забезпечують адекватного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глікемічного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контролю.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комбінації з інсуліном (з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без), коли дієта та фізичні вправи разом зі стабільною дозою інсуліну не забезпечують адекватного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глікемічного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контролю.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Протипоказання.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гіперчутливість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до будь-якої допоміжної речовини.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71D9" w:rsidRPr="001F71D9" w:rsidRDefault="001F71D9" w:rsidP="001F7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Взаємодія з іншими лікарськими засобами та інші види взаємодій.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низький потенціал для взаємодії з іншими препаратами. Оскільки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субстратом ензиму цитохрому Р450 (CYP) і не є інгібітором або каталізатором ензимів CYP 450, то його взаємодія з іншими препаратами, які є субстратами, інгібіторами або каталізаторами цих ензимів, малоймовірна.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Комбінація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піоглітазоном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глібуридом</w:t>
      </w:r>
      <w:proofErr w:type="spellEnd"/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 досліджень, проведених з цими пероральними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протидіабетичними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засобами, не показали клінічно значущої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фармакокінетичної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взаємодії.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Дигоксин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(субстрат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Pgp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варфарин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(субстрат CYP2C9)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Клінічні дослідження, проведені за участю здорових добровольців, не показали клінічно значущої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фармакокінетичної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взаємодії. Проте це не було встановлено в цільовій популяції.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Комбінація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амлодипіном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раміприлом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валсартаном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або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симвастатином</w:t>
      </w:r>
      <w:proofErr w:type="spellEnd"/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Дослідження лікарської взаємодії за участю здорових добровольців були проведені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раміприлом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валсартаном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симвастатином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ході цих досліджень після одночасного застосуваннях вказаних препаратів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клінічно значущих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фармакокінетичних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взаємодій виявлено не було.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Комбінація з інгібіторами АПФ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одночасному застосуванні з інгібіторами АПФ є більш високий ризик розвитку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ангіоневротичного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набряку (див. розділ «Побічні реакції).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і щодо інших пероральних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протидіабетичних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лікарських засобів, певні активні речовини, включаючи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тіазиди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кортикостероїди, препарати гормонів щитовидної залози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симпатоміметики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можуть зменшувати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гіпоглікемічний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ефект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Особливості застосування.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Загальні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замінником інсуліну для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інсулінзалежних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пацієнтів. Препарат не слід застосовувати для лікування пацієнтів з діабетом типу I або діабетичним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Порушення функції нирок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Досвід застосування препарату для лікування пацієнтів з помірними або тяжкими порушеннями функції нирок, а також пацієнтів із ННТС на гемодіалізі обмежений. Тому застосування препарату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рекомендовано  цим групам пацієнтів.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Порушення функції печінки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рекомендований для застосування пацієнтам із порушеннями функції печінки, у тому числі пацієнтам, у яких до лікування рівень АЛТ або АСТ більше ніж у 3 рази перевищував верхню межу норми.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рівнів ферментів печінки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повідомляли про порушення функції печінки (включаючи гепатит). У таких випадках у пацієнтів перебіг ускладнення був переважно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безсимптомним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клінічних наслідків, а показники тестів функції печінки (ТФП) після припинення лікування поверталися до нормальних рівнів. Перед початком лікування препаратом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слід проводити ТФП з метою визначення у пацієнта вихідних показників. Слід проводити моніторинг результатів ТФП під час лікування препаратом протягом першого року лікування з інтервалом один раз на три-чотири місяці, а також періодично пізніше.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пацієнтів, у яких спостерігалися підвищені рівні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трансаміназ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слід проводити повторний моніторинг функції печінки для підтвердження результатів, а також подальший моніторинг з частим проведенням тестів функції печінки, доки порушені рівні не повернуться до нормальних показників. Якщо підвищення рівня АЛТ або АСТ у 3 або більше разів вище за верхню межу норми, то рекомендується припинити лікування препаратом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виникненні жовтяниці або інших ознак порушення функції печінки слід припинити застосування препарату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Після припинення лікування та нормалізації результатів ТФП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слід розпочинати знову.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Серцева недостатність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Клінічне дослідження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пацієнтам із серцевою недостатністю І-ІІІ функціональних класів за класифікацією NYHA показало, що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пов’язане зі зміною функції лівого шлуночка або з погіршенням наявної застійної серцевої недостатності. Клінічний досвід застосування препарату пацієнтам із серцевою недостатністю ІІІ функціонального класу за класифікацією NYHA все ще обмежений, а результати не переконливі.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Досвід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під час клінічних досліджень  пацієнтам із серцевою недостатністю ІV функціонального класу за класифікацією NYHA відсутній, тому застосовувати препарат цим пацієнтам не рекомендується.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Розлади з боку шкіри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доклінічних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токсикологічних дослідженнях повідомляли про випадки ураження шкіри, включаючи утворення пухирів та виразок на кінцівках у мавп. Хоча у процесі клінічних досліджень не було відзначено збільшення частоти ураження шкіри, досвід щодо ускладнень з боку шкіри у пацієнтів із цукровим діабетом обмежений.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того, 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постмаркетинговий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період застосування препарату повідомляли про випадки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бульозного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ексфоліативного ураження шкіри.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чином, відповідно до стандартного догляду за пацієнтами з цукровим діабетом рекомендується спостереження для виявлення порушень з боку шкіри, таких як утворення пухирів або виразок.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Панкреатит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пов’язано з ризиком розвитку гострого панкреатиту. Пацієнти повинні бути проінформовані про характерні симптоми гострого панкреатиту.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підозрюється розвиток панкреатиту,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слід продовжувати. У разі підтвердження діагнозу гострий панкреатит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слід поновлювати.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Гіпоглікемія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відомо, призводить до розвитку гіпоглікемії. Пацієнти, які отримують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можуть бути схильні до розвитку гіпоглікемії. Таким чином, для зниження ризику розвитку гіпоглікемії можливе застосування більш низьких доз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Інші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складу препарату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таблетки, входить лактоза. Пацієнтам із рідкісними спадковими станами – непереносимістю лактози, дефіцитом лактази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Лаппа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мальабсорбцією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глюкози та галактози – препарат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протипоказаний.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Застосування у період вагітності або годування груддю.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Вагітність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Дотепер немає відповідних досліджень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вагітним жінкам.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Дослідження на тваринах виявили репродуктивну токсичність при застосуванні високих доз препарату. Потенційний ризик для людини невідомий. Через відсутність даних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слід застосовувати під час вагітності.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Період годування груддю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Невідомо, чи проникає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грудне молоко. Дослідження на тваринах виявили виділення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молоко тварин.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слід призначати жінкам, які годують груддю.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Фертильність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Досліджень щодо впливу препарату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фертильність людини не проводилося.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Здатність впливати на швидкість реакції при керуванні автотранспортом або іншими механізмами.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 щодо впливу препарату на здатність керувати автомобілем та працювати з іншими механізмами не проводилися. Пацієнти, які відчувають запаморочення, не повинні керувати автотранспортом або працювати з іншими механізмами.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</w:rPr>
        <w:t>Спосіб застосування та дози.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застосуванні як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монотерапії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тіазолідиндіоном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в комбінації з інсуліном (з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без) рекомендована добова доза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100 мг, яку розділяють на два прийоми: 50 мг вранці та 50 мг ввечері.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застосуванні у складі подвійної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рекомендована доза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50 мг один раз на добу, вранці. У цій популяції пацієнтів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100 мг на добу був не більш ефективним, ніж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50 мг один раз на добу.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застосуванні в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зниження ризику розвитку гіпоглікемії можливе застосування низьких доз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 дозу препарату 100 мг не рекомендовано.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пропуску прийому дози препарату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слід прийняти відразу, як тільки пацієнт згадає про це. Подвійну дозу препарату не слід приймати в той же день.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Безпека та ефективність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потрійної пероральної терапії в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тіазолідиндіоном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встановлені.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Дозування для пацієнтів із порушеннями функції печінки або нирок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рекомендується застосовувати пацієнтам із порушеннями функції печінки, в тому числі пацієнтам, у яких до лікування рівень АЛТ або АСТ був у 3 рази вищий за верхню межу норми.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пацієнтів із порушеннями функції нирок легкого ступеня (кліренс креатиніну ≥ 50 мл/хв) немає потреби у корекції дозування препарату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Пацієнтам з помірними або тяжкими порушеннями функції нирок або ННТС рекомендована доза препарату становить 50 мг один раз на добу.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Дозування для пацієнтів літнього віку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пацієнтів віком від 65 років немає потреби змінювати дозування.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Дозування для дітей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Дітям та підліткам віком до 18 років застосування препарату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рекомендується через відсутність даних про безпеку та ефективність.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Спосіб застосування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перорального застосування.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застосовувати незалежно від вживання їжі.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Діти.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Дітям та підліткам віком до 18 років застосування препарату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Айгліп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рекомендується через відсутність даних про безпеку та ефективність.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Передозування.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щодо передозування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обмежена.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Симптоми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можливі симптоми передозування була отримана у процесі дослідження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переносимості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підвищення дози за участю здорових добровольців, які отримували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10 днів. При дозуванні 400 мг спостерігалися три випадки виникнення м’язового болю, а також кілька випадків легкої та короткочасної парестезії, гарячки, розвитку набряків та тимчасового підвищення рівнів ліпази. При дозуванні 600 мг у одного із добровольців виник набряк ніг та рук, значне підвищення рівня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фосфокінази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креатиніну (ФКК), що супроводжувалося підвищенням рівня АСТ, С-реактивного білка та міоглобіну. Троє добровольців цієї групи мали набряк обох ніг, що у двох випадках супроводжувалося парестезією. Усі симптоми та порушення лабораторних показників зникали після припинення застосування досліджуваного препарату.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Лікування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передозування рекомендовано проводити підтримувальну терапію.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виводиться при гемодіалізі, однак більшість метаболітів гідролізу (LAY 151) можна видалити за допомогою гемодіалізу.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Побічні реакції.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Дані з безпеки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були отримані у ході проведення контрольованих досліджень за участю пацієнтів, які приймали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добовій дозі 50 мг (один раз на добу) або 100 мг (по 50 мг два рази на добу або 100 мг один раз на добу), як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монотерапію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поєднанні з іншим лікарським засобом. Більшість побічних реакцій, що виникали при прийомі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були легкими за характером та тимчасовими і не вимагали припинення лікування. Не було виявлено зв’язку між розвитком побічних реакцій та віком чи расою пацієнта, тривалістю прийому препарату або добовою дозою.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Повідомляли про окремі випадки розвитку печінкової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дисфункції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тому числі гепатиту). Ці випадки були зазвичай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безсимптомними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клінічних наслідків, а результати ТФП після припинення лікування поверталися до нормальних. За даними контрольованих досліджень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монотерапії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додаткової терапії, частота підвищення рівнів АЛТ або АСТ у ≥ 3 рази від верхньої межі норми для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50 мг один раз на добу, для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50 мг два рази на добу та для всіх препаратів порівняння становила 0,2 %, 0,3 % та 0,2 % відповідно. Підвищення рівнів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трансаміназ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були переважно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безсимптомними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прогресували та не були пов’язані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холестазом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жовтяницею.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Поодинокі випадки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ангіоневротичного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набряку, про які повідомлено у зв’язку із застосуванням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спостерігалися з такою ж частотою, як і у контрольній групі. Більш високий відсоток таких випадків спостерігався у тій групі, де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застосовувався у комбінації з інгібітором АПФ. Більшість явищ були легкими за тяжкістю та минали на фоні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Побічні реакції, що спостерігалися протягом подвійних сліпих досліджень у пацієнтів, які приймали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монотерапію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складі комбінованої терапії, вказані нижче, для кожного показання за класом системи органів та абсолютною частотою. Частота визначається таким чином: дуже часто (≥ 1/10), часто (≥ 1/100, &lt; 1/10), нечасто (≥ 1/1000, &lt; 1/100),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(&gt; 10000, ≤ 1/1000), дуже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(≤ 1/10000), частота невідома (не може бути оцінена на основі наявних даних). У кожній об’єднаній за частотою групі небажані реакції представлені у порядку зменшення серйозності.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Монотерапія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Побічні реакції, зареєстровані у пацієнтів, які отримували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100 мг на добу як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монотерапію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ході проведення подвійних сліпих досліджень.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Інфекції та інвазії: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дуже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інфекція верхніх дихальних шляхів,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назофарингіт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обміну речовин: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нечасто – гіпоглікемія.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нервової системи: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запаморочення; нечасто – головний біль.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серцево-судинної системи: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 – периферичні набряки.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шлунково-кишкового тракту: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нечасто – 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кістково-м’язової та сполучної системи: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 – артралгія.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шкіри: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можливі реакції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гіперчутливості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 окремих побічних реакцій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контрольованих дослідженнях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монотерапії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загальна частота випадків дострокового припинення лікування через появу небажаних реакцій не була більшою у пацієнтів, які отримували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100 мг на добу, ніж у пацієнтів, які отримували плацебо або препарати порівняння.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порівняльних контрольованих дослідженнях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монотерапії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випадки гіпоглікемії, що були нечастими, спостерігалися у 0,4 % пацієнтів, які отримували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100 мг на добу, порівняно з 0,2 %  пацієнтів у групі лікування активним препаратом порівняння або плацебо, без серйозних або тяжких явищ.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клінічних дослідженнях, коли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100 мг на добу призначався як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монотерапія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маса тіла пацієнтів не змінювалася порівняно з вихідним рівнем.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Клінічні дослідження тривалістю до 2 років не виявили ніяких додаткових ознак небезпеки або непередбачених ризиків у разі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монотерапії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Комбінація препарату з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Побічні реакції, зареєстровані у пацієнтів, які отримували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100 мг на добу в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ході проведення досліджень.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обміну речовин: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– гіпоглікемія.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нервової системи: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тремор, запаморочення, головний біль; нечасто – стомлення.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шлунково-кишкового тракту: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– нудота.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 окремих побічних реакцій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ході проведення контрольованих клінічних досліджень комбінації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100 мг на добу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повідомляли про відміну лікування через появу небажаних реакцій ні в групі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100 мг на добу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ні в групі прийому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ході проведення клінічних досліджень випадки гіпоглікемії були частими у пацієнтів, які отримували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100 мг на добу в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(1 %) та нечастою у пацієнтів, які отримували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(0,4 %). У групах прийому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було зареєстрованого жодного випадку тяжкої гіпоглікемії.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ході клінічних досліджень при додаванні до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100 мг на добу маса тіла пацієнтів не змінювалася порівняно з вихідним рівнем.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ході проведення клінічних досліджень тривалістю до 2 років і більше не було виявлено жодних додаткових ознак небезпеки або непередбачених ризиків у разі додавання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Комбінація препарату із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Побічні реакції, зареєстровані у пацієнтів, які отримували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50 мг в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ході проведення подвійних сліпих досліджень.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Інфекції та інвазії: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діже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назофарингіт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обміну речовин: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– гіпоглікемія.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нервової системи: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– тремор, запаморочення, головний біль, астенія.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шлунково-кишкового тракту: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нечасто – 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 окремих побічних реакцій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контрольованих клінічних дослідженнях комбінації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50 мг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загальна частота випадків дострокового припинення лікування через появу небажаних реакцій становила 0,6 % при поєднанні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50 мг із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 0 % в групі лікування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клінічних дослідженнях частота випадків гіпоглікемії, коли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50 мг один раз на добу був доданий до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глімепіриду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становила 1,2 % проти 0,6 % у групі прийому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глімепіриду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групах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тяжких випадків гіпоглікемії зареєстровано не було.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ході клінічних досліджень при додаванні до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глімепіриду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50 мг на добу маса тіла пацієнтів не змінювалася порівняно з вихідним рівнем.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Комбінація препарату з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тіазолідиндіоном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Побічні реакції, зареєстровані у пацієнтів, які отримували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100 мг на добу в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тіазолідиндіоном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ході проведення подвійних сліпих досліджень.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обміну речовин: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збільшення маси тіла; нечасто – гіпоглікемія.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нервової системи: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 – головний біль, астенія.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серцево-судинної системи: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периферичні набряки.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 окремих побічних реакцій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ході контрольованих клінічних досліджень комбінації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100 мг на добу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тіазолідиндіону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дострокове припинення лікування через появу небажаних реакцій не повідомлялося ні в групі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100 мг на добу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тіазолідиндіоном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ні в групі лікування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тіазолідиндіоном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клінічних дослідженнях випадки гіпоглікемії були нечастими у пацієнтів, які отримували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піоглітазон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(0,6 %), але частими у пацієнтів, які отримували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піоглітазон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(1,9 %). У групах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тяжких випадків гіпоглікемії зареєстровано не було.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дослідженні додаткової терапії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піоглітазоном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абсолютний показник зростання маси тіла при застосуванні плацебо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100 мг на добу становив 1,4 та </w:t>
      </w:r>
      <w:smartTag w:uri="urn:schemas-microsoft-com:office:smarttags" w:element="metricconverter">
        <w:smartTagPr>
          <w:attr w:name="ProductID" w:val="2,7 кг"/>
        </w:smartTagPr>
        <w:r w:rsidRPr="001F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2,7 кг</w:t>
        </w:r>
      </w:smartTag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Відсоткова частка периферичних набряків, коли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100 мг на добу додавали до максимальної дози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піоглітазону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застосовували як фоновий препарат (45 мг один раз на добу), становила 7,0 % порівняно з 2,5 % при застосуванні тільки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піоглітазону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фонового препарату.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Комбінація препарату з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та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Побічні реакції, зареєстровані у пацієнтів, які отримували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дозі 50 мг два рази на добу в комбінації 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сульфонілсечовиною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обміну речовин: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гіпоглікемія.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нервової системи: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запаморочення, тремор.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шкіри та підшкірних тканин: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– гіпергідроз.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Загальні розлади: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– астенія.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 окремих побічних реакцій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випадки дострокового припинення лікування через появу небажаних реакцій не повідомляли у групі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глімепіридом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порівняно з 0,6</w:t>
      </w:r>
      <w:r w:rsidRPr="001F7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 групі лікування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глімепіридом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розвитку гіпоглікемії була поширеною в обох групах лікування (5,1 % для групи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глімепіриду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порівняно з 1,9 % для групи застосування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глімепіриду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 одне тяжке явище гіпоглікемії повідомляли в групі застосування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 дослідження вплив на середні показники маси тіла був нейтральний.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Комбінація препарату з інсуліном.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Небажані реакції, зареєстровані у пацієнтів, які отримували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100 мг на добу в комбінації з інсуліном (з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без), у ході проведення подвійних сліпих досліджень.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обміну речовин: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знижений рівень глюкози крові.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нервової системи: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головний біль, озноб.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шлунково-кишкового тракту: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– нудота,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гастроезофагеальна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хвороба;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нечасто – діарея, метеоризм.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 окремих побічних реакцій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ході проведення контрольованих клінічних досліджень із застосуванням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дозі     50 мг два рази на добу в комбінації з інсуліном, із супутнім застосуванням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метформіну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без, загальна частота випадків дострокового припинення лікування через появу небажаних реакцій становила 0,3 % у групі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тоді як у групі застосування плацебо випадків дострокового припинення лікування через появу небажаних реакцій не спостерігалося.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випадків гіпоглікемії була однаковою в обох групах лікування. Поява тяжкого явища гіпоглікемії спостерігалася у 2 пацієнтів із групи лікування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вілдагліптином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6 пацієнтів із групи застосування плацебо.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 дослідження вплив на середні показники маси тіла був нейтральний.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Постмаркетинговий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досвід застосування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вілдагліптину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шлунково-кишкового тракту: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невідома – панкреатит.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гепатобіліарної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системи: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невідома – гепатит (оборотний після припинення прийому лікарського засобу), відхилення функціональних печінкових проб від норми (оборотні після припинення прийому лікарського засобу).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боку шкіри та підшкірних тканин: 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невідома – кропив’янка,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бульозне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ексфоліативне ураження шкіри, включаючи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бульозний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пемфігоїд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Термін придатності.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3 роки.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застосовувати препарат після закінчення терміну придатності, вказаного на упаковці.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Умови зберігання. 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лікарського засобу не потрібні спеціальні умови зберігання.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 у недоступному для дітей місці.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Упаковка.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10 таблеток у блістері. По 3 або 6 блістерів у пачці.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Категорія відпуску.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рецептом.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Виробник.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 «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(виробництво з продукції </w:t>
      </w:r>
      <w:proofErr w:type="spellStart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bulk</w:t>
      </w:r>
      <w:proofErr w:type="spellEnd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фірми-виробника АЕТ </w:t>
      </w:r>
      <w:proofErr w:type="spellStart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Лабораторіз</w:t>
      </w:r>
      <w:proofErr w:type="spellEnd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Прайвет</w:t>
      </w:r>
      <w:proofErr w:type="spellEnd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Лтд</w:t>
      </w:r>
      <w:proofErr w:type="spellEnd"/>
      <w:r w:rsidRPr="001F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Індія)</w:t>
      </w: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D9" w:rsidRPr="001F71D9" w:rsidRDefault="001F71D9" w:rsidP="001F71D9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Місцезнаходження виробника та його адреса місця провадження діяльності. </w:t>
      </w:r>
    </w:p>
    <w:p w:rsidR="001F71D9" w:rsidRPr="001F71D9" w:rsidRDefault="001F71D9" w:rsidP="001F71D9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Україна, </w:t>
      </w:r>
      <w:smartTag w:uri="urn:schemas-microsoft-com:office:smarttags" w:element="metricconverter">
        <w:smartTagPr>
          <w:attr w:name="ProductID" w:val="04080, м"/>
        </w:smartTagPr>
        <w:r w:rsidRPr="001F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04080, м</w:t>
        </w:r>
      </w:smartTag>
      <w:r w:rsidRPr="001F71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Кирилівська, 74.</w:t>
      </w:r>
    </w:p>
    <w:p w:rsidR="001F71D9" w:rsidRPr="001F71D9" w:rsidRDefault="001F71D9" w:rsidP="001F71D9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1D9" w:rsidRPr="001F71D9" w:rsidRDefault="001F71D9" w:rsidP="001F71D9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останнього перегляду.</w:t>
      </w:r>
      <w:r w:rsidRPr="001F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30.11.2020.</w:t>
      </w:r>
    </w:p>
    <w:p w:rsidR="00E82915" w:rsidRDefault="00E82915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/>
    <w:p w:rsidR="001F71D9" w:rsidRDefault="001F71D9" w:rsidP="0099609C">
      <w:pPr>
        <w:jc w:val="center"/>
      </w:pPr>
    </w:p>
    <w:p w:rsidR="001F71D9" w:rsidRPr="001F71D9" w:rsidRDefault="001F71D9" w:rsidP="0099609C">
      <w:pPr>
        <w:keepNext/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1F71D9" w:rsidRPr="001F71D9" w:rsidRDefault="001F71D9" w:rsidP="0099609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Приказ Министерства</w:t>
      </w:r>
    </w:p>
    <w:p w:rsidR="001F71D9" w:rsidRPr="001F71D9" w:rsidRDefault="001F71D9" w:rsidP="0099609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hanging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здравоохранения Украины</w:t>
      </w:r>
    </w:p>
    <w:p w:rsidR="001F71D9" w:rsidRPr="001F71D9" w:rsidRDefault="0099609C" w:rsidP="0099609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954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</w:t>
      </w:r>
      <w:r w:rsidR="001F71D9"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12.08.2019 № 1772</w:t>
      </w:r>
    </w:p>
    <w:p w:rsidR="001F71D9" w:rsidRPr="001F71D9" w:rsidRDefault="0099609C" w:rsidP="0099609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Регистрационное </w:t>
      </w:r>
      <w:r w:rsidR="001F71D9"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удостоверение</w:t>
      </w:r>
    </w:p>
    <w:p w:rsidR="001F71D9" w:rsidRDefault="001F71D9" w:rsidP="0099609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№</w:t>
      </w:r>
      <w:r w:rsidRPr="001F71D9">
        <w:rPr>
          <w:rFonts w:ascii="Arial" w:eastAsia="Times New Roman" w:hAnsi="Arial" w:cs="Arial"/>
          <w:noProof/>
          <w:sz w:val="24"/>
          <w:szCs w:val="24"/>
          <w:lang w:val="ru-RU"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UA/17556/01/01</w:t>
      </w:r>
    </w:p>
    <w:p w:rsidR="0099609C" w:rsidRDefault="0099609C" w:rsidP="001F71D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9609C" w:rsidRPr="0099609C" w:rsidRDefault="0099609C" w:rsidP="0099609C">
      <w:pPr>
        <w:tabs>
          <w:tab w:val="center" w:pos="4677"/>
          <w:tab w:val="left" w:pos="6804"/>
          <w:tab w:val="right" w:pos="9639"/>
        </w:tabs>
        <w:spacing w:after="0" w:line="240" w:lineRule="auto"/>
        <w:ind w:left="5812" w:firstLine="567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9609C">
        <w:rPr>
          <w:rFonts w:ascii="Times New Roman" w:eastAsia="SimSun" w:hAnsi="Times New Roman" w:cs="Times New Roman"/>
          <w:b/>
          <w:sz w:val="24"/>
          <w:szCs w:val="24"/>
        </w:rPr>
        <w:t>ИЗМЕНЕНИЯ ВНЕСЕНЫ</w:t>
      </w:r>
    </w:p>
    <w:p w:rsidR="00CB52CE" w:rsidRPr="00CB52CE" w:rsidRDefault="0099609C" w:rsidP="00CB52CE">
      <w:pPr>
        <w:spacing w:line="240" w:lineRule="auto"/>
        <w:ind w:left="5664" w:firstLine="57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9609C">
        <w:rPr>
          <w:rFonts w:ascii="Times New Roman" w:eastAsia="SimSun" w:hAnsi="Times New Roman" w:cs="Times New Roman"/>
          <w:b/>
          <w:sz w:val="24"/>
          <w:szCs w:val="24"/>
        </w:rPr>
        <w:t xml:space="preserve">Приказ </w:t>
      </w:r>
      <w:proofErr w:type="spellStart"/>
      <w:r w:rsidRPr="0099609C">
        <w:rPr>
          <w:rFonts w:ascii="Times New Roman" w:eastAsia="SimSun" w:hAnsi="Times New Roman" w:cs="Times New Roman"/>
          <w:b/>
          <w:sz w:val="24"/>
          <w:szCs w:val="24"/>
        </w:rPr>
        <w:t>Министерства</w:t>
      </w:r>
      <w:proofErr w:type="spellEnd"/>
      <w:r w:rsidRPr="0099609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99609C">
        <w:rPr>
          <w:rFonts w:ascii="Times New Roman" w:eastAsia="SimSun" w:hAnsi="Times New Roman" w:cs="Times New Roman"/>
          <w:b/>
          <w:sz w:val="24"/>
          <w:szCs w:val="24"/>
        </w:rPr>
        <w:t>здравоохранения</w:t>
      </w:r>
      <w:proofErr w:type="spellEnd"/>
      <w:r w:rsidRPr="0099609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99609C">
        <w:rPr>
          <w:rFonts w:ascii="Times New Roman" w:eastAsia="SimSun" w:hAnsi="Times New Roman" w:cs="Times New Roman"/>
          <w:b/>
          <w:sz w:val="24"/>
          <w:szCs w:val="24"/>
        </w:rPr>
        <w:t>Украины</w:t>
      </w:r>
      <w:proofErr w:type="spellEnd"/>
      <w:r w:rsidRPr="0099609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CB52CE" w:rsidRPr="00CB52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30.11.</w:t>
      </w:r>
      <w:r w:rsidR="00CB52CE" w:rsidRPr="00CB52CE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2020</w:t>
      </w:r>
      <w:r w:rsidR="00CB52CE" w:rsidRPr="00CB52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 2759</w:t>
      </w:r>
    </w:p>
    <w:p w:rsidR="001F71D9" w:rsidRPr="001F71D9" w:rsidRDefault="001F71D9" w:rsidP="0099609C">
      <w:pPr>
        <w:keepNext/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F71D9" w:rsidRPr="001F71D9" w:rsidRDefault="001F71D9" w:rsidP="001F71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ИНСТРУКЦИЯ</w:t>
      </w:r>
    </w:p>
    <w:p w:rsidR="001F71D9" w:rsidRPr="001F71D9" w:rsidRDefault="001F71D9" w:rsidP="001F71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 медицинскому применению лекарственного средства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АЙГЛИП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(AIGLIP)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Состав:</w:t>
      </w:r>
      <w:r w:rsidRPr="001F71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действующее вещество: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таблетка содержит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 мг;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вспомогательные вещества: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целлюлоза микрокристаллическая, лактоза безводная,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гидроксипропилцеллюлоза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низкозамещенная, магния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стеарат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Лекарственная форма.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Таблетки.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Основные физико-химические свойства: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таблетки круглые, с плоской поверхностью, со скошенными краями, от белого до светло желтоватого цвета.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Фармакотерапевтичеcкая</w:t>
      </w:r>
      <w:proofErr w:type="spellEnd"/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группа. 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Гипогликемические синтетические и другие средства. Ингибиторы дипептидилпептидазы-4. Код АТХ A10B H02.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Фармакологические свойства.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Фармакодинамика</w:t>
      </w:r>
      <w:proofErr w:type="spellEnd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относится к классу веществ, усиливающих работу бета-клеток островкового аппарата поджелудочной железы, является мощным и селективным ингибитором дипептидилпептидазы-4 (DPP-4).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Применение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приводит к быстрому и полному прекращению активности DPP-4. Ингибирование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DPP-4 вызывает повышение эндогенного уровня гормонов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инкретина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ГПП-1 (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глюкагоноподобный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пептид 1) и ГИП (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глюкозозависимый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инсулинотропный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пептид) во время голодания и после приема пищи.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Вследствие повышения эндогенных уровней этих гормонов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инкретина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улучшает чувствительность бета-клеток к глюкозе, что приводит к усилению секреции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глюкозозависимого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инсулина. Лечение пациентов с диабетом типа II препаратом в дозах от 50 до 100 мг в сутки существенно улучшало действие маркеров функции бета-клеток, включая HOMA-β (гомеостатическую модель оценки функции β-клеток), отношение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проинсулина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к инсулину и показатели чувствительности бета-клеток при многократном проведении теста толерантности к пище. У пациентов, не болеющих сахарным диабетом (с нормальным уровнем глюкозы в крови),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не вызывает стимуляцию секреции инсулина или снижение уровней глюкозы.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Вследствие повышения эндогенных уровней ГПП-1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также усиливает чувствительность альфа-клеток к глюкозе, что приводит к повышению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глюкозозависимой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секреции глюкагона. Значительный рост соотношения инсулин-глюкагон при гипергликемии, вызванной повышенными уровнями гормона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инкретина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 приводит к снижению продукции глюкозы во время голодания и после приема пищи, что вызывает сокращение гликемии.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Известное влияние повышенного уровня ГПП-1, которое заключается в удлинении эвакуации содержимого желудка, не наблюдается при лечении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Фармакокинетика</w:t>
      </w:r>
      <w:proofErr w:type="spellEnd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Абсорбция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После перорального приема натощак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быстро абсорбируется, максимальная концентрация в плазме крови (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C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ru-RU" w:eastAsia="ru-RU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ru-RU" w:eastAsia="ru-RU"/>
        </w:rPr>
        <w:t>)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наблюдается через 1,7 часа. Одновременный прием с пищей незначительно задерживает время достижения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C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ru-RU" w:eastAsia="ru-RU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 плазме крови - до 2,5 часа, но не влияет на общую экспозицию (AUC). Применение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 пищей приводит к снижению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C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ru-RU" w:eastAsia="ru-RU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(19 %). Несмотря на это, величина изменений не является клинически значимой, поэтому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можно принимать независимо от приема пищи. Абсолютная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биодоступность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составляет 85 %.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Распределение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Коэффициент связывания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 протеинами плазмы крови низкий (9,3 %);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распределяется равномерно между плазмой крови и эритроцитами. Средний объем распределения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на стадии плато после внутривенного введения (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Vss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) составляет 71 литр, что говорит об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экстрасосудистом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распределении.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Метаболизм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Метаболизм является основным путем выведения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у человека, который составляет 69 % принятой дозы. Основной метаболит, LAY151, является фармакологически неактивным и представляет собой продукт гидролиза составляющей циана, составляющий 57 % дозы и сопровождающийся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глюкуронидным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(BQS867) и амидным гидролизом (4 % дозы). Данные, полученные в ходе исследования в условиях </w:t>
      </w:r>
      <w:proofErr w:type="spellStart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in</w:t>
      </w:r>
      <w:proofErr w:type="spellEnd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vitro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 микросомах почек человека, указывают на то, что почки могут быть одним из основных органов, который способствует гидролизу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до его основного неактивного метаболита, LAY151. DPP-4 частично участвует в гидролизе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что было подтверждено исследованием </w:t>
      </w:r>
      <w:proofErr w:type="spellStart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in</w:t>
      </w:r>
      <w:proofErr w:type="spellEnd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vivo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у крыс с дефицитом DPP-4.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не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метаболизируется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энзимами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цитохрома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Р450 в таком объеме, который бы можно было определить. Таким образом, не ожидается, что сопутствующий прием лекарственных средств, таких как ингибиторы и/или индукторы CYР450, будет влиять на метаболический клиренс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. Исследования </w:t>
      </w:r>
      <w:proofErr w:type="spellStart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in</w:t>
      </w:r>
      <w:proofErr w:type="spellEnd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vitro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показали, что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не ингибирует и не индуцирует энзимы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цитохрома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Р450. Таким образом,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скорее всего, не влияет на метаболический клиренс одновременно применяемых лекарственных средств, которые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метаболизируются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CYP 1A2, CYP 2C8, CYP 2C9, CYP 2C19, CYP 2D6, CYP 2E1 или CYP 3A4/5.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Выведение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После перорального приема [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ru-RU" w:eastAsia="ru-RU"/>
        </w:rPr>
        <w:t>14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С] -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примерно 85 % дозы выводится с мочой и 15 % дозы - с калом. Почечное выведение неизмененного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составляет 23 % перорально принятой дозы. После внутривенного введения здоровым добровольцам общий плазменный и почечный клиренс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составляет 41 л в час и 13 л в час соответственно. Средний период полувыведения после внутривенного введения составляет примерно 2 часа. Период полувыведения после перорального приема составляет примерно 3 часа.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Линейность/нелинейность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C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ru-RU" w:eastAsia="ru-RU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для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 AUC увеличиваются почти пропорционально дозировке при всем диапазоне терапевтического дозирования.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Отдельные группы пациентов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Пол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Не наблюдалось никаких различий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фармакокинетики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препарата у здоровых добровольцев мужского и женского пола разного возраста и с разным индексом массы тела (ИМТ). Ингибирование DPP-4 препаратом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не зависит от пола пациента.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Заболевания печени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Влияние нарушений функции печени на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фармакокинетику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исследовалось у пациентов с незначительными, умеренными и серьезными нарушениями функции печени на основе оценки по шкале классификации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Чайлд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-Пью (от 6 для незначительного до 12 для серьезного нарушения) по сравнению с пациентами с нормальной функцией печени. Экспозиция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после приема разовой дозы у пациентов с незначительными и умеренными нарушениями функции печени была пониженной (на 20 % и 8 % соответственно), тогда как экспозиция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у пациентов с серьезными нарушениями увеличивалась на 22 %. Максимальное изменение (увеличение или уменьшение) экспозиции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составляло примерно 30 %, что не считается клинически существенным. Не было выявлено зависимости между тяжестью нарушения функции печени и изменениями экспозиции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Заболевания почек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Открытое исследование с многократным применением препарата было проведено с целью оценки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фармакокинетики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наиболее низких терапевтических доз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(50 мг один раз в сутки) у пациентов с различной степенью хронического нарушения функции почек, которая определялся по клиренсу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креатинина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(легкое нарушение функции почек от 50 до &lt;80 мл/мин, умеренное нарушение функции почек от 30 до &lt;50 мл/мин и тяжелое нарушение функции почек &lt;30 мл/мин), по сравнению с контрольной группой участников исследования с нормальной функцией почек.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У пациентов с незначительными, умеренными и серьезными нарушениями функции почек AUC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увеличивалась по сравнению с пациентами с нормальной функцией почек. Показатели AUC метаболитов LAY151 и BQS867 увеличивались в среднем в 1,5, 3 и 7 раз у пациентов с легкими, умеренными и тяжелыми нарушениями функции почек соответственно. Ограниченные данные относительно пациентов с почечной недостаточностью в терминальной стадии (ПНТС) показывают, что экспозиция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похожа на экспозицию препарата у пациентов с тяжелыми нарушениями функции почек. Концентрации LAY151 были примерно в 2-3 раза выше, чем у пациентов с тяжелыми нарушениями функции почек.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выводился из организма с помощью гемодиализа в ограниченном количестве (3 % в течение 3-4-часового гемодиализа, который начинали проводить через 4 часа после применения препарата).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Пациенты пожилого возраста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У здоровых по другим показателям пациентов (от 70 лет) общая экспозиция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(100 мг один раз в сутки) увеличивалась на 32 %, а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C</w:t>
      </w:r>
      <w:r w:rsidRPr="001F71D9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ru-RU" w:eastAsia="ru-RU"/>
        </w:rPr>
        <w:t>max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на 18 % по сравнению с младшими здоровыми добровольцами (от 18 до 40 лет).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Эти изменения, однако, не считаются клинически значимыми. Ингибирование DPP-4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не зависит от возраста пациентов в исследуемых возрастных группах.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Раса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Ограниченные данные свидетельствуют о том, что расовая принадлежность не имеет значимого влияния на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фармакокинетику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. 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Клинические характеристики.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ind w:right="-27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ru-RU" w:eastAsia="ru-RU"/>
        </w:rPr>
        <w:t>Показания.</w:t>
      </w:r>
      <w:r w:rsidRPr="001F71D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 xml:space="preserve"> 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Лечение взрослых пациентов с сахарным диабетом типа II.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пациентов, у которых применение только диеты и физических упражнений не обеспечивает достаточный контроль, а также для пациентов, у которых применение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считается неприемлемым из-за наличия противопоказаний или непереносимости.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 составе двойной пероральной терапии в комбинации с: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пациентов с недостаточным гликемическим контролем, несмотря на применение максимально переносимой дозы при проведении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пациентов с недостаточным гликемическим контролем, несмотря на применение максимальной переносимой дозы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сульфонилмочевины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 для пациентов, у которых применение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считается неприемлемым из-за наличия противопоказаний или непереносимости;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тиазолидиндионом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пациентов с недостаточным гликемическим контролем, для которых применение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тиазолидиндиона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считается приемлемым.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составе тройной пероральной терапии в комбинации с: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когда диета и физические упражнения вместе с двойной терапией этими лекарственными средствами не обеспечивают адекватного гликемического контроля.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комбинации с инсулином (с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без), когда диета и физические упражнения вместе со стабильной дозой инсулина не обеспечивают адекватного гликемического контроля.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Противопоказания.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Известная гиперчувствительность 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к любому вспомогательному веществу.</w:t>
      </w: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Взаимодействие с другими лекарственными средствами и другие виды взаимодействий.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имеет низкий потенциал для взаимодействия с другими препаратами. Поскольку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является субстратом энзима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цитохрома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Р450 (CYP) и не является ингибитором или катализатором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энзимов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CYP 450, то его взаимодействие с другими препаратами, которые являются субстратами, ингибиторами или катализаторами этих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энзимов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маловероятна.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Комбинация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пиоглитазоном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глибуридом</w:t>
      </w:r>
      <w:proofErr w:type="spellEnd"/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Результаты исследований, проведенных с этими пероральными противодиабетическими средствами, не показали клинически значимого фармакокинетического взаимодействия.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Дигоксин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(субстрат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Pgp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),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варфарин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(субстрат CYP2C9)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Клинические исследования, проведенные с участием здоровых добровольцев, не показали клинически значимого фармакокинетического взаимодействия. Однако это не было установлено в целевой популяции.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Комбинация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амлодипином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рамиприлом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валсартаном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или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симвастатином</w:t>
      </w:r>
      <w:proofErr w:type="spellEnd"/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Исследования лекарственного взаимодействия с участием здоровых добровольцев были проведены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амлодипином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рамиприлом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валсартаном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симвастатином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В ходе этих исследований после одновременного применения указанных препаратов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клинически значимых фармакокинетических взаимодействий выявлено не было.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Комбинация с ингибиторами АПФ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 одновременном применении с ингибиторами АПФ более высокий риск развития ангионевротического отека (см. раздел «Побочные реакции).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Как и относительно других пероральных противодиабетических лекарственных средств, определенные активные вещества, включая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тиазиды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кортикостероиды, препараты гормонов щитовидной железы и симпатомиметики, могут уменьшать гипогликемический эффект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Особенности применения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Общие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является заменителем инсулина для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инсулинзависимых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пациентов. Препарат не следует применять для лечения пациентов с диабетом типа I или диабетическим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кетоацидозом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Нарушение функции почек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Опыт применения препарата для лечения пациентов с умеренными или тяжелыми нарушениями функции почек, а также пациентов с ПНТС на гемодиализе ограничен. Поэтому применение препарата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рекомендовано этим группам пациентов.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Нарушение функции печени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рекомендован для применения пациентам с нарушениями функции печени, в том числе пациентам, у которых до лечения уровень АЛТ или АСТ более чем в 3 раза превышал верхнюю границу нормы.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Контроль уровней ферментов печени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Редко сообщали о нарушениях функции печени (включая гепатит). В таких случаях у пациентов течение осложнения было преимущественно бессимптомным, без клинических последствий, а показатели тестов функции печени (ТФП) после прекращения лечения возвращались к нормальным уровням. Перед началом лечения препаратом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следует проводить ТФП с целью определения у пациента исходных показателей. Следует проводить мониторинг результатов ТФП во время лечения препаратом в течение первого года лечения с интервалом один раз в три-четыре месяца, а также периодически позже.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пациентов, у которых наблюдались повышенные уровни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трансаминаз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следует проводить повторный мониторинг функции печени для подтверждения результатов, а также последующий мониторинг с частым проведением тестов функции печени, пока повышенные уровни не вернутся к нормальным показателям. Если повышение уровня АЛТ или АСТ в 3 или более раз выше верхней границы нормы, то рекомендуется прекратить лечение препаратом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При возникновении желтухи или других признаков нарушения функции печени следует прекратить применение препарата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После прекращения лечения и нормализации результатов ТФП лечение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следует начинать снова.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Сердечная недостаточность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Клиническое исследование применения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пациентам с сердечной недостаточностью I-III функциональных классов по классификации NYHA показало, что лечение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связано с изменением функции левого желудочка или с ухудшением имеющейся застойной сердечной недостаточности. Клинический опыт применения препарата пациентам с сердечной недостаточностью III функционального класса по классификации NYHA все еще ограничен, а результаты не убедительны.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Опыт применения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время клинических исследований пациентам с сердечной недостаточностью IV функционального класса по классификации NYHA отсутствует, поэтому применять препарат этим пациентам не рекомендуется.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Расстройства со стороны кожи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доклинических токсикологических исследованиях сообщали о случаях поражения кожи, включая образование пузырей и язв на конечностях у обезьян. Хотя в ходе клинических исследований не было отмечено увеличения частоты поражения кожи, опыт по осложнениям со стороны кожи у пациентов с сахарным диабетом ограничен.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Кроме того, в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постмаркетинговый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 применения препарата сообщалось о случаях буллезного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эксфолиативного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поражения кожи.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Таким образом, в соответствии со стандартным уходом за пациентами с сахарным диабетом рекомендуется наблюдение для выявления нарушений со стороны кожи, таких как образование пузырей или язв.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Панкреатит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связано с риском развития острого панкреатита. Пациенты должны быть проинформированы о характерных симптомах острого панкреатита.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подозревается развитие панкреатита, применение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следует продолжать. В случае подтверждения диагноза острый панкреатит применение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следует возобновлять.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Гипогликемия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сульфонилмочевины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как известно, приводит к развитию гипогликемии. Пациенты, получающие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комбинации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могут быть склонны к развитию гипогликемии. Таким образом, для снижения риска развития гипогликемии возможно применение более низких доз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сульфонилмочевины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Другие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состав препарата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таблетки, входит лактоза. Пациентам с редкими наследственными состояниями - непереносимостью лактозы, дефицитом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лактазы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Лаппа или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мальабсорбцией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глюкозы и галактозы - препарат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противопоказан.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Применение в период беременности или кормления грудью.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Беременность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сих пор нет соответствующих исследований применения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беременным женщинам.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Исследования на животных выявили репродуктивную токсичность при применении высоких доз препарата. Потенциальный риск для человека неизвестен. Из-за отсутствия данных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следует применять во время беременности.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Период кормления грудью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Неизвестно, проникает ли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грудное молоко. Исследования на животных выявили выделение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молоко животных.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следует назначать женщинам, кормящим грудью.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Фертильность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Исследований о влиянии препарата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фертильность человека не проводилось.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Способность влиять на скорость реакции при управлении автотранспортом или другими механизмами.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Исследования о влиянии препарата на способность управлять автомобилем и работать с другими механизмами не проводились. Пациенты, испытывающие головокружение, не должны управлять автотранспортом или работать с другими механизмами.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Способ применения и дозы. 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При применении в качестве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в комбинации с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в сочетании с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тиазолидиндионом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в комбинации с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и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или в комбинации с инсулином (с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или без) рекомендуемая суточная доза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составляет 100 мг, которую разделяют на два приема: 50 мг утром и 50 мг вечером.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При применении в составе двойной комбинации с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рекомендуемая доза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составляет 50 мг один раз в сутки, утром. В этой популяции пациентов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 дозе 100 мг в сутки был не более эффективным, чем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 дозе </w:t>
      </w:r>
      <w:r w:rsidR="00467C9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           </w:t>
      </w: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50 мг один раз в сутки.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При применении в комбинации с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с целью снижения риска развития гипогликемии возможно применение низких доз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сульфонилмочевины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Превышать дозу препарата 100 мг не рекомендуется.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В случае пропуска приема дозы препарата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ее следует принять сразу, как только пациент вспомнит об этом. Двойную дозу препарата не следует принимать в тот же день.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Безопасность и эффективность применения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 составе тройной пероральной терапии в комбинации с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и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тиазолидиндионом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не установлены.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Дозирование для пациентов с нарушениями функции печени или почек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не рекомендуется применять пациентам с нарушениями функции печени, в том числе пациентам, у которых до лечения уровень АЛТ или АСТ был в 3 раза выше верхней границы нормы.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Для пациентов с нарушением функции почек легкой степени (клиренс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креатинина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≥ </w:t>
      </w:r>
      <w:r w:rsidR="00467C9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                      </w:t>
      </w: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50 мл/мин) нет необходимости в коррекции дозы препарата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. Пациентам с умеренными или тяжелыми нарушениями функции почек или с ПНТС рекомендуемая доза составляет </w:t>
      </w:r>
      <w:r w:rsidR="00467C9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         </w:t>
      </w: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50 мг один раз в сутки.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Дозирование для пациентов пожилого возраста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Для пациентов от 65 лет нет необходимости изменять дозировку.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Дозировка для детей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Детям и подросткам до 18 лет применение препарата </w:t>
      </w: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не рекомендуется из-за отсутствия данных о безопасности и эффективности.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Cпособ</w:t>
      </w:r>
      <w:proofErr w:type="spellEnd"/>
      <w:r w:rsidRPr="001F71D9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 xml:space="preserve"> применения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Для перорального применения.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можно применять независимо от приема пищи.</w:t>
      </w:r>
    </w:p>
    <w:p w:rsidR="001F71D9" w:rsidRPr="001F71D9" w:rsidRDefault="001F71D9" w:rsidP="001F7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Дети. 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Детям и подросткам до 18 лет применение препарата </w:t>
      </w:r>
      <w:proofErr w:type="spellStart"/>
      <w:r w:rsidRPr="001F71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Айглип</w:t>
      </w:r>
      <w:proofErr w:type="spellEnd"/>
      <w:r w:rsidRPr="001F71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не рекомендуется из-за отсутствия данных о безопасности и эффективности.</w:t>
      </w: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ru-RU" w:eastAsia="ru-RU"/>
        </w:rPr>
        <w:t xml:space="preserve">Передозировка.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передозировке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ограничена.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Симптомы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возможных симптомах передозировки была получена в ходе исследования переносимости повышения дозы с участием здоровых добровольцев, получавших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течение 10 дней. При дозировке 400 мг наблюдались три случая возникновения мышечной боли, а также несколько случаев легкой и кратковременной парестезии, лихорадки, развития отеков и временного повышения уровней липазы. При дозировке 600 мг у одного из добровольцев возник отек ног и рук, значительное повышение уровня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фосфокиназы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креатинина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(ФКК), что сопровождалось повышением уровня </w:t>
      </w:r>
      <w:proofErr w:type="gram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АСТ, </w:t>
      </w:r>
      <w:r w:rsidR="00467C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gramEnd"/>
      <w:r w:rsidR="00467C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С-реактивного белка и миоглобина. Трое добровольцев этой группы имели отек обеих ног, что в двух случаях сопровождалось парестезией. Все симптомы и нарушения лабораторных показателей исчезали после отмены исследуемого препарата.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Лечение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 передозировки рекомендуется проводить поддерживающую терапию.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выводится при гемодиализе, однако большинство метаболитов гидролиза (LAY 151) можно удалить с помощью гемодиализа.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Побочные реакции.</w:t>
      </w: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по безопасности применения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были получены в ходе проведения контролируемых исследований с участием пациентов, принимавших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суточной дозе 50 мг (один раз в сутки) или 100 мг (по 50 мг два раза в сутки или 100 мг один раз в сутки), в качестве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 сочетании с другим лекарственным средством. Большинство побочных реакций, которые возникали при приеме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были легкими по характеру и временными и не требовали прекращения лечения. Не было обнаружено связи между развитием побочных реакций и возрастом или расой пациента, продолжительностью приема препарата или суточной дозой.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Сообщалось об отдельных случаях развития печеночной дисфункции (в том числе гепатита). Эти случаи были обычно бессимптомными, без клинических последствий, а результаты ТФП после прекращения лечения возвращались к нормальным. По данным контролируемых исследований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дополнительной терапии, частота повышения уровня АЛТ или АСТ в ≥ 3 раза от верхней границы нормы для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50 мг один раз в сутки, для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50 мг два раза в сутки и для всех препаратов сравнения составляла 0,2 %, 0,3 % и 0,2 % соответственно. Повышения уровней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трансаминаз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были в основном бессимптомными, не прогрессировали и не были связаны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холестазом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желтухой.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Единичные случаи ангионевротического отека, о которых сообщено в связи с применением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наблюдались с такой же частотой, как и в контрольной группе. Более высокий процент таких случаев наблюдался в той группе, где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применялся в комбинации с ингибитором АПФ. Большинство явлений были легкими по тяжести и проходили на фоне применения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Побочные реакции, которые наблюдались в течение двойных слепых исследований у пациентов, принимавших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 составе комбинированной терапии, указанные ниже, для каждого показания по классу системы органов и абсолютной частотой. Частота определяется следующим образом: очень часто (≥ 1/10), часто (≥ 1/100, &lt;1/10), нечасто (≥ 1/1000, &lt;1/100), редко (&gt; 10000, ≤ 1/1000), очень редко (≤ 1/10000), частота неизвестна (не может быть оценена на основе имеющихся данных). В каждой объединенной по частоте группе нежелательные реакции представлены в порядке уменьшения серьезности.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Монотерапия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.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Побочные реакции, зарегистрированные у пациентов, получавших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в качестве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ходе проведения двойных слепых исследований.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Инфекции и инвазии: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очень редко - инфекция верхних дыхательных путей,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назофарингит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обмена веществ: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нечасто - гипогликемия.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нервной системы: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– головокружение; нечасто - головная боль.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сердечно-сосудистой системы: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нечасто - периферические отеки.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желудочно-кишечного тракта: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нечасто - запор.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костно-мышечной и соединительной системы: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нечасто - артралгия.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кожи: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возможны реакции гиперчувствительности.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Описание отдельных побочных реакций.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контролируемых исследованиях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общая частота случаев досрочного прекращения лечения из-за появления нежелательных реакций не была больше у пациентов, получавших лечение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сутки, чем у пациентов, получавших плацебо или препараты сравнения.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сравнительных контролируемых исследованиях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случаи гипогликемии, которые были нечастыми, наблюдались у 0,4 % пациентов, получавших лечение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сутки, по сравнению с 0,2 % пациентов в группе лечения активным препаратом сравнения или плацебо, без серьезных или тяжелых явлений.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клинических исследованиях, когда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назначался в качестве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масса тела пациентов не менялась по сравнению с исходным уровнем.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Клинические исследования продолжительностью до 2 лет не обнаружили никаких дополнительных признаков опасности или непредвиденных рисков в случае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Комбинация препарата с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.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Побочные реакции, зарегистрированные у пациентов, получавших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в комбинации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ходе проведения исследований.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обмена веществ: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гипогликемия.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нервной системы: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тремор, головокружение, головная боль; нечасто - утомление.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желудочно-кишечного тракта: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тошнота.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Описание отдельных побочных реакций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проведения контролируемых клинических исследований комбинации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сообщалось об отмене лечения из-за появления нежелательных реакций ни в группе лечения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ни в группе приема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проведения клинических исследований случаи гипогликемии были частые у пациентов, получавших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в комбинации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(1 %) и нечастые у пациентов, получавших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(0,4 %). В группах приема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было зарегистрированного ни одного случая тяжелой гипогликемии.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клинических исследований при добавлении 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масса тела пациентов не менялась по сравнению с исходным уровнем.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проведения клинических исследований длительностью до 2 лет и более не было выявлено никаких дополнительных признаков опасности или непредвиденных рисков в случае добавления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Комбинация препарата с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Побочные реакции, зарегистрированные у пациентов, получавших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50 мг в комбинации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ходе проведения двойных слепых исследований.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Инфекции и инвазии: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очень редко 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назофарингит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обмена веществ: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гипогликемия.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нервной системы: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тремор, головокружение, головная боль, астения.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желудочно-кишечного тракта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нечасто - запор.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Описание отдельных побочных реакций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контролируемых клинических исследованиях комбинации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50 мг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сульфонилмочевины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общая частота случаев досрочного прекращения лечения из-за появления нежелательных реакций составила 0,6 % при сочетании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50 мг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против 0 % в группе лечения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клинических исследованиях частота случаев гипогликемии, когда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50 мг один раз в сутки был добавлен 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глимепириду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составила 1,2 % против 0,6 % в группе приема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глимепирида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группах лечения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тяжелых случаев гипогликемии зарегистрировано не было.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клинических исследований при добавлении к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глимепириду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50 мг в сутки масса тела пациентов не менялась по сравнению с исходным уровнем.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Комбинация препарата с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тиазолидиндионом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Побочные реакции, зарегистрированные у пациентов, получавших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в комбинации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тиазолидиндионом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ходе проведения двойных слепых исследований.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обмена веществ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часто - увеличение массы тела; нечасто - гипогликемия.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нервной системы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нечасто - головная боль, астения.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сердечно-сосудистой системы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часто - периферические отеки.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Описание отдельных побочных реакций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контролируемых клинических исследований комбинации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тиазолидиндиона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досрочном прекращении лечения из-за появления нежелательных реакций не сообщалось ни в группе лечения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тиазолидиндионом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ни в группе лечения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тиазолидиндионом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клинических исследованиях случаи гипогликемии были нечастыми у пациентов, получавших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пиоглитазон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(0,6 %), но частыми у пациентов, получавших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пиоглитазон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(1,9 %). В группах лечения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тяжелых случаев гипогликемии зарегистрировано не было.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исследовании дополнительной терапии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пиоглитазоном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абсолютный показатель роста массы тела при применении плацебо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составлял 1,4 </w:t>
      </w:r>
      <w:proofErr w:type="gram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3B6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,7 кг соответственно.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Процентная доля периферических отеков, когда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добавляли до максимальной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пиоглитазона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который применяли в качестве фонового препарат (45 мг один раз в сутки), составила 7,0 % по сравнению с 2,5 % при применении только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пиоглитазона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фонового препарата.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Комбинация препарата с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 и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.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Побочные реакции, зарегистрированные у пациентов, получавших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50 мг два раза в сутки в комбинации 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сульфонилмочевиной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обмена веществ: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гипогликемия.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нервной системы: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головокружение, тремор.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кожи и подкожных тканей: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гипергидроз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Общие нарушения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часто - астения.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Описание отдельных побочных реакций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случаях досрочного прекращения лечения из-за появления нежелательных реакций не сообщалось в группе лечения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глимепиридом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сравнению с 0,6 % в группе лечения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глимепиридом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Частота развития гипогликемии была распространена в обеих группах лечения (5,1 % для группы применения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глимепирида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сравнению с 1,9 % для группы применения плацебо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+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глимепирида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Об одном тяжелом явлении гипогликемии сообщалось в группе применения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конце исследования влияние на средние показатели массы тела было нейтральным.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Комбинация препарата с инсулином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Нежелательные реакции, зарегистрированные у пациентов, получавших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100 мг в сутки в комбинации с инсулином (с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без), в ходе проведения двойных слепых исследований.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Со стороны обмена веществ: 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 - пониженный уровень глюкозы крови.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нервной системы: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головная боль, озноб.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желудочно-кишечного тракта: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 - тошнота,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гастроэзофагеальная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рефлюксная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болезнь; нечасто - диарея, метеоризм.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Описание отдельных побочных реакций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проведения контролируемых клинических исследований с применением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дозе 50 мг два раза в сутки в комбинации с инсулином, с сопутствующим применением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метформина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без, общая частота случаев досрочного прекращения лечения из-за появления нежелательных реакций составила 0,3 % в группе лечения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тогда как в группе применения плацебо случаев досрочного прекращения лечения из-за появления нежелательных реакций не наблюдалось.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Частота случаев гипогликемии была одинаковой в обеих группах лечения. Появление тяжелого явления гипогликемии наблюдалось у 2 пациентов из группы лечения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вилдаглиптином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 6 пациентов из группы применения плацебо.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конце исследования влияние на средние показатели массы тела было нейтральным.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Постмаркетинговый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 опыт применения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вилдаглиптина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желудочно-кишечного тракта: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частота неизвестна - панкреатит.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Со стороны </w:t>
      </w:r>
      <w:proofErr w:type="spellStart"/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гепатобилиарной</w:t>
      </w:r>
      <w:proofErr w:type="spellEnd"/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системы: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частота неизвестна - гепатит (оборотный после прекращения приема лекарственного средства), отклонение функциональных проб печени от нормы (обратимые после прекращения приема препарата).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кожи и подкожных тканей: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частота неизвестна - крапивница, буллезное 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эксфолиативное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поражение кожи, включая буллезный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пемфигоид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Срок годности.</w:t>
      </w: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года.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использовать препарат после окончания срока годности, указанного на упаковке.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хранения.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лекарственного средства не требуются специальные условия хранения.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Хранить в недоступном для детей месте.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Упаковка. 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 10 таблеток в блистерах. По 3 или 6 блистеров в пачке</w:t>
      </w:r>
      <w:r w:rsidRPr="001F71D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Категория отпуска. 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рецепту.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Производитель. 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АО «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Фармак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1F71D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(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производство из продукции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in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bulk</w:t>
      </w:r>
      <w:proofErr w:type="spellEnd"/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фирмы-производителя </w:t>
      </w:r>
      <w:r w:rsidRPr="001F71D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АЕТ </w:t>
      </w:r>
      <w:proofErr w:type="spellStart"/>
      <w:r w:rsidRPr="001F71D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Лабораториз</w:t>
      </w:r>
      <w:proofErr w:type="spellEnd"/>
      <w:r w:rsidRPr="001F71D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F71D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Прайвет</w:t>
      </w:r>
      <w:proofErr w:type="spellEnd"/>
      <w:r w:rsidRPr="001F71D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Лтд., Индия)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Местонахождение производителя и его адрес места осуществления деятельности.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Украина, </w:t>
      </w:r>
      <w:smartTag w:uri="urn:schemas-microsoft-com:office:smarttags" w:element="metricconverter">
        <w:smartTagPr>
          <w:attr w:name="ProductID" w:val="04080, г"/>
        </w:smartTagPr>
        <w:r w:rsidRPr="001F71D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04080, г</w:t>
        </w:r>
      </w:smartTag>
      <w:r w:rsidR="00DB6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Киев, ул. Кирилловская</w:t>
      </w:r>
      <w:r w:rsidRPr="001F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74.</w:t>
      </w: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71D9" w:rsidRPr="001F71D9" w:rsidRDefault="001F71D9" w:rsidP="001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1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Дата последнего пересмотра. </w:t>
      </w:r>
      <w:r w:rsidR="00DB6FF0" w:rsidRPr="00DB6FF0">
        <w:rPr>
          <w:rFonts w:ascii="Times New Roman" w:hAnsi="Times New Roman" w:cs="Times New Roman"/>
          <w:sz w:val="24"/>
          <w:szCs w:val="24"/>
          <w:lang w:val="en-US"/>
        </w:rPr>
        <w:t>30.11.2020.</w:t>
      </w:r>
    </w:p>
    <w:p w:rsidR="001F71D9" w:rsidRPr="001F71D9" w:rsidRDefault="001F71D9" w:rsidP="001F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71D9" w:rsidRPr="001F71D9" w:rsidRDefault="001F71D9" w:rsidP="001F71D9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71D9" w:rsidRPr="001F71D9" w:rsidRDefault="001F71D9" w:rsidP="001F71D9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71D9" w:rsidRDefault="001F71D9"/>
    <w:sectPr w:rsidR="001F7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E4"/>
    <w:rsid w:val="001F71D9"/>
    <w:rsid w:val="00351666"/>
    <w:rsid w:val="003B669E"/>
    <w:rsid w:val="00467C95"/>
    <w:rsid w:val="00991DE4"/>
    <w:rsid w:val="0099609C"/>
    <w:rsid w:val="00C10CCF"/>
    <w:rsid w:val="00CB52CE"/>
    <w:rsid w:val="00D36484"/>
    <w:rsid w:val="00DB6FF0"/>
    <w:rsid w:val="00E82915"/>
    <w:rsid w:val="00E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046D0"/>
  <w15:chartTrackingRefBased/>
  <w15:docId w15:val="{9529F9AC-BC81-43F3-A3B8-C94B09E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40161</Words>
  <Characters>22893</Characters>
  <Application>Microsoft Office Word</Application>
  <DocSecurity>0</DocSecurity>
  <Lines>190</Lines>
  <Paragraphs>125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62929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Грєвцова Катерина Петрівна</dc:creator>
  <cp:keywords/>
  <dc:description/>
  <cp:lastModifiedBy>Грєвцова Катерина Петрівна</cp:lastModifiedBy>
  <cp:revision>10</cp:revision>
  <dcterms:created xsi:type="dcterms:W3CDTF">2021-02-01T13:39:00Z</dcterms:created>
  <dcterms:modified xsi:type="dcterms:W3CDTF">2021-02-01T14:37:00Z</dcterms:modified>
</cp:coreProperties>
</file>