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F4" w:rsidRPr="009F3DF4" w:rsidRDefault="009F3DF4" w:rsidP="009F3DF4">
      <w:pPr>
        <w:keepNext/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left="5820"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Министерства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left="5820"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здравоохранения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Украины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07.09.2018 № 1635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Регистрационное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удостоверение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№ </w:t>
      </w: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UA</w:t>
      </w: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/13370/01/01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</w:t>
      </w: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UA</w:t>
      </w: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/13370/01/02</w:t>
      </w:r>
    </w:p>
    <w:p w:rsidR="009F3DF4" w:rsidRDefault="009F3DF4" w:rsidP="009F3DF4">
      <w:pPr>
        <w:keepNext/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F3DF4" w:rsidRPr="009F3DF4" w:rsidRDefault="009F3DF4" w:rsidP="009F3DF4">
      <w:pPr>
        <w:keepNext/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ИЗМИНЕНИЯ ВНЕСЕНЫ</w:t>
      </w:r>
    </w:p>
    <w:p w:rsidR="009F3DF4" w:rsidRPr="009F3DF4" w:rsidRDefault="009F3DF4" w:rsidP="009F3DF4">
      <w:pPr>
        <w:keepNext/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Приказ Министерства</w:t>
      </w:r>
    </w:p>
    <w:p w:rsidR="009F3DF4" w:rsidRPr="009F3DF4" w:rsidRDefault="009F3DF4" w:rsidP="009F3DF4">
      <w:pPr>
        <w:keepNext/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здравоохранения Украины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30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22.12.2020 № 2970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3DF4" w:rsidRPr="009F3DF4" w:rsidRDefault="009F3DF4" w:rsidP="009F3DF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ИНСТРУКЦИЯ</w:t>
      </w:r>
    </w:p>
    <w:p w:rsidR="009F3DF4" w:rsidRPr="009F3DF4" w:rsidRDefault="009F3DF4" w:rsidP="009F3DF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медицинскому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применению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лекарственного средства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right="26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uk-UA"/>
        </w:rPr>
      </w:pP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right="2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val="en-GB" w:eastAsia="uk-UA"/>
        </w:rPr>
        <w:t>LIRA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) </w:t>
      </w:r>
    </w:p>
    <w:p w:rsidR="009F3DF4" w:rsidRPr="009F3DF4" w:rsidRDefault="009F3DF4" w:rsidP="009F3DF4">
      <w:pPr>
        <w:widowControl w:val="0"/>
        <w:spacing w:after="0" w:line="240" w:lineRule="auto"/>
        <w:ind w:right="10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Состав: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3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</w:t>
      </w:r>
      <w:proofErr w:type="spellStart"/>
      <w:r w:rsidRPr="009F3D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ействующее</w:t>
      </w:r>
      <w:proofErr w:type="spellEnd"/>
      <w:r w:rsidRPr="009F3D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вещество</w:t>
      </w:r>
      <w:r w:rsidRPr="009F3D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: </w:t>
      </w:r>
      <w:proofErr w:type="spellStart"/>
      <w:r w:rsidRPr="009F3DF4">
        <w:rPr>
          <w:rFonts w:ascii="Times New Roman" w:eastAsia="Times New Roman" w:hAnsi="Times New Roman" w:cs="Times New Roman"/>
          <w:sz w:val="23"/>
          <w:szCs w:val="24"/>
          <w:lang w:val="en-GB" w:eastAsia="uk-UA"/>
        </w:rPr>
        <w:t>citicoline</w:t>
      </w:r>
      <w:proofErr w:type="spellEnd"/>
      <w:r w:rsidRPr="009F3DF4">
        <w:rPr>
          <w:rFonts w:ascii="Times New Roman" w:eastAsia="Times New Roman" w:hAnsi="Times New Roman" w:cs="Times New Roman"/>
          <w:sz w:val="23"/>
          <w:szCs w:val="24"/>
          <w:lang w:eastAsia="uk-UA"/>
        </w:rPr>
        <w:t xml:space="preserve">; </w:t>
      </w:r>
    </w:p>
    <w:p w:rsidR="009F3DF4" w:rsidRPr="009F3DF4" w:rsidRDefault="009F3DF4" w:rsidP="009F3DF4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ампула (4 мл)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содержит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500 мг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1000 мг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 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натр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пере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счете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100 %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вещество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вспомогательные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вещества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: 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кислота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хлористовод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ородная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концентрированная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натр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дроксид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вода для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ъе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кц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й.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Лекарственная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форма.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аствор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ъе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кц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й.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</w:t>
      </w:r>
      <w:proofErr w:type="spellEnd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физико-химические</w:t>
      </w:r>
      <w:proofErr w:type="spellEnd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</w:t>
      </w:r>
      <w:proofErr w:type="spellEnd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проз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рачная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бе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сцветная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или слегка желтоватая жидкость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Фармакотерапевтичеcкая</w:t>
      </w:r>
      <w:proofErr w:type="spellEnd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proofErr w:type="spellEnd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Психостимулирующие 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ноотропные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средства. Код АТХ N06В Х06.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Фармакологические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свойства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</w:t>
      </w: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Фармакодинамика</w:t>
      </w:r>
      <w:proofErr w:type="spellEnd"/>
      <w:r w:rsidRPr="009F3D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 стимул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ирует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б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осинтез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структурн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х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фосфол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д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в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в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мембран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нейрон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в,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-резонансно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спектроскоп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улучшает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функц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ионирование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мембран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ных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механизмов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таких как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он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ные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насос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рецептор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ы,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которых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.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Благодаря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стаб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илизирующему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д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ействию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на мембрану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н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обладает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проти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воотечными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свойствами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поэ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тому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у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мен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ьшает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отек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моз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га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.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Результаты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исследований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показали,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что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цитиколин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угнетает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дея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те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льн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сть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некоторых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фосфол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паз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(А1, А2, С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D),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препятствует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остаточному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высвобождению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свободных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радикал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в,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предупреждает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повреждение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мембранн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х систем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обеспечивает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сохранение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за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щитной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антиоксидантно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й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систем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сохраняет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запас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ирует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что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у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л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учшает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хол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нерг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ч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ескую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передачу.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н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такж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оказывает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проф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лактич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еское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нейропротекторн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ое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д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ействие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фокальн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Цитиколин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способствует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быстрой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функциональн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й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реаб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л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тац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пац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ие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нт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ов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при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остр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х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на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рушен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ях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моз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г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ового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кровооб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ращения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у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мен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ьшая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шем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ч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еское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по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ражение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ткан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ей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моз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га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чт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 п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одтверждается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результатами рентгенолог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ч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еских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исследований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При черепно-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моз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г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ов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х травмах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 с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окращает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длительность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в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осстановительного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пер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од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а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у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мен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ьшает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нтенсивн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сть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посттравматич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еского</w:t>
      </w:r>
      <w:proofErr w:type="spellEnd"/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синдром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а</w:t>
      </w:r>
      <w:r w:rsidRPr="009F3DF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Цитиколин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улучшает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внимание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ознания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особствует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прояв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амнез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улучшает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состояние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тивн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и других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неврологических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асстройствах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которые наблюдаются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шем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Фармакокинетика</w:t>
      </w:r>
      <w:proofErr w:type="spellEnd"/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.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Цитикол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н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хорошо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вс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асывается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пероральном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внутр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имышечном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внутр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ивенном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. П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осле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я препарат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а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наблюдается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знач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ительное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овышение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у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р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вня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хол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н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lastRenderedPageBreak/>
        <w:t>плазм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кров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При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пероральном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применении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препарат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практич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ески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лностью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вс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асывается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Исследования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показали,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чт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о б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одоступн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сть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при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пероральном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парентеральном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путях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я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практич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ески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од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инаковы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Препарат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метабол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изируется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кишечник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печ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ени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образованием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хол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н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а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цитидин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а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После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введения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цитиколин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усваивается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тканями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мозга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при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эт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хол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н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д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ействуют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на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фосфол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д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цитидин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– на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цитидинов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нуклео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д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нукле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нов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кислот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Цитиколин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быстро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достигает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тканей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мозга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активно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встраивается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в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мембран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кл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т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ок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, цитоплазму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м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тохондр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, актив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ируя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д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я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тельность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фосфол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д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Только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незнач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ительное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оличество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введенно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й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доз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ы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водится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с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мочой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калом (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>мен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е 3 %).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12 %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9F3D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выдыхается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мочой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‒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ительно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часов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которой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быстро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фаза, в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которой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медленнее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наблюдается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9F3D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выдыхается, скорость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быстро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ительно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часов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ается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медленнее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Клинические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характеристики.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 w:eastAsia="ru-RU"/>
        </w:rPr>
        <w:t>Показания</w:t>
      </w:r>
      <w:r w:rsidRPr="009F3DF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Pr="009F3D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Инсульт, острая фаза нарушений мозгового кровообращения и лечение осложнений и последствий нарушений мозгового кровообращения.</w:t>
      </w:r>
    </w:p>
    <w:p w:rsidR="009F3DF4" w:rsidRPr="009F3DF4" w:rsidRDefault="009F3DF4" w:rsidP="009F3DF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Черепно-мозговая травма и ее неврологические последствия.</w:t>
      </w:r>
    </w:p>
    <w:p w:rsidR="009F3DF4" w:rsidRPr="009F3DF4" w:rsidRDefault="009F3DF4" w:rsidP="009F3DF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Когнитивные нарушения и нарушения поведения вследствие хронических сосудистых и дегенеративных церебральных расстройств.</w:t>
      </w: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Противопоказания.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Повышенная чувствительность к любому компоненту препарата.</w:t>
      </w: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Повышенный тонус парасимпатической нервной системы.</w:t>
      </w: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другими </w:t>
      </w: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лекарственными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средствами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другие виды взаимодействий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следует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применять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препарат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одновременно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препаратами,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содержащими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меклофеноксат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Усиливает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эффект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леводопы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Особенности применения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F3DF4" w:rsidRPr="009F3DF4" w:rsidRDefault="009F3DF4" w:rsidP="009F3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случае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устойчивого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внутричерепного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кровоизлияния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следует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превышать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дозу 1000 мг в сутки и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скорость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внутривенного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вливания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30 капель в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минуту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F3DF4" w:rsidRPr="009F3DF4" w:rsidRDefault="009F3DF4" w:rsidP="009F3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9F3DF4" w:rsidRPr="009F3DF4" w:rsidRDefault="009F3DF4" w:rsidP="009F3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Применение в период беременности или кормления грудью.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достаточных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Лиры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экскреции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цитиколина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его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грудью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назначать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для плода.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F4" w:rsidRPr="009F3DF4" w:rsidRDefault="009F3DF4" w:rsidP="009F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Способность влиять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скорость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реакции</w:t>
      </w:r>
      <w:proofErr w:type="spellEnd"/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управлении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автотранспортом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или 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другими</w:t>
      </w:r>
      <w:proofErr w:type="gramEnd"/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механизмами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отдельных случаях некоторые побочные реакции со стороны центральной нервной системы могут влиять на способность управлять автотранспортом или работать со сложными механизмами.</w:t>
      </w:r>
    </w:p>
    <w:p w:rsid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Способ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применения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дозы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Препарат применять для внутривенного или внутримышечного введения, внутривенно назначать в форме медленной внутривенной инъекции (в течение 3-5 минут в зависимости от назначенной дозы) или внутривенно </w:t>
      </w:r>
      <w:proofErr w:type="spellStart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капельно</w:t>
      </w:r>
      <w:proofErr w:type="spellEnd"/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(40-60 капель в минуту).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Рекомендуемая доза для взрослых – 500-2000 мг/сутки, в зависимости от тяжести состояния больного.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Максимальная суточная доза – 2000 мг.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При острых и неотложных состояниях максимальный терапевтический эффект достигается при назначении препарата в первые 24 часа.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Срок лечения зависит от течения болезни и определяется врачом.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Для пациентов пожилого возраста корректировать дозу не нужно.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Препарат совместим со всеми внутривенными изотоническими растворами, а также с гипертоническими растворами глюкозы.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Данный раствор предназначен для разового применения. Раствор необходимо ввести сразу же после вскрытия ампулы. Неиспользованный раствор следует уничтожить.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При необходимости лечение продолжать препаратом в форме раствора для перорального применения или таблеток.</w:t>
      </w:r>
    </w:p>
    <w:p w:rsidR="009F3DF4" w:rsidRPr="009F3DF4" w:rsidRDefault="009F3DF4" w:rsidP="009F3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ти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.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Опыт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препарата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ограничен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поэтому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лекарственный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препарат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следует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назначать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тогда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ожидаемая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польза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превышает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потенциальный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риск.</w:t>
      </w:r>
    </w:p>
    <w:p w:rsidR="009F3DF4" w:rsidRPr="009F3DF4" w:rsidRDefault="009F3DF4" w:rsidP="009F3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eastAsia="ru-RU"/>
        </w:rPr>
      </w:pPr>
    </w:p>
    <w:p w:rsidR="009F3DF4" w:rsidRPr="009F3DF4" w:rsidRDefault="009F3DF4" w:rsidP="009F3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val="ru-RU"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eastAsia="ru-RU"/>
        </w:rPr>
        <w:t>Передозировка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eastAsia="ru-RU"/>
        </w:rPr>
        <w:t xml:space="preserve">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Случаи передозировки не описаны.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Побочные</w:t>
      </w: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реакции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F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Очень редко (&lt;1/10000) (включая сообщения пациентов).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центральной и периферической нервной систем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сильная головная боль,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вертиго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галлюцинации.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сердечно-сосудистой системы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артериальная гипертензия, артериальная гипотензия, тахикардия.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дыхательной системы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одышка.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пищеварительного тракта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тошнота, рвота, диарея.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иммунной системы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аллергические реакции, в том числе: сыпь, гиперемия, экзантема, крапивница, пурпура, зуд, ангионевротический отек, анафилактический шок.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Общие реакции: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озноб, изменения в месте введения.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годности</w:t>
      </w:r>
      <w:proofErr w:type="spellEnd"/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года.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применять препарат после окончания срока годности, указанного на упаковке.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proofErr w:type="spellEnd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хранения</w:t>
      </w:r>
      <w:proofErr w:type="spellEnd"/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Хранить</w:t>
      </w:r>
      <w:r w:rsidRPr="009F3DF4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 при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температур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в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ыш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 30 °С.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Хранить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недоступном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д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тей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Несовместимость.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применять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</w:t>
      </w:r>
      <w:proofErr w:type="spellStart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астворители</w:t>
      </w:r>
      <w:proofErr w:type="spellEnd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не 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казан</w:t>
      </w:r>
      <w:proofErr w:type="spellStart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ные</w:t>
      </w:r>
      <w:proofErr w:type="spellEnd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</w:t>
      </w:r>
      <w:proofErr w:type="spellStart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</w:t>
      </w:r>
      <w:proofErr w:type="spellEnd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е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е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</w:t>
      </w:r>
      <w:proofErr w:type="spellEnd"/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 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применения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доз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ы</w:t>
      </w:r>
      <w:r w:rsidRPr="009F3D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Упаковка.</w:t>
      </w:r>
      <w:r w:rsidRPr="009F3D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3DF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 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4 мл в ампул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 5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или 10 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ампул 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пач</w:t>
      </w:r>
      <w:r w:rsidRPr="009F3D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ке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Категория отпуска.</w:t>
      </w:r>
      <w:r w:rsidRPr="009F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  <w:r w:rsidRPr="009F3DF4"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  <w:t>По рецепту.</w:t>
      </w:r>
    </w:p>
    <w:p w:rsidR="009F3DF4" w:rsidRPr="009F3DF4" w:rsidRDefault="009F3DF4" w:rsidP="009F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</w:pP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Производитель.</w:t>
      </w:r>
      <w:r w:rsidRPr="009F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Местонахождение</w:t>
      </w: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 производителя и его адрес места осуществления деятельности</w:t>
      </w: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04080, г"/>
        </w:smartTagPr>
        <w:r w:rsidRPr="009F3D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04080,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Кирилловская</w:t>
      </w:r>
      <w:proofErr w:type="spellEnd"/>
      <w:r w:rsidRPr="009F3DF4">
        <w:rPr>
          <w:rFonts w:ascii="Times New Roman" w:eastAsia="Times New Roman" w:hAnsi="Times New Roman" w:cs="Times New Roman"/>
          <w:sz w:val="24"/>
          <w:szCs w:val="24"/>
          <w:lang w:eastAsia="ru-RU"/>
        </w:rPr>
        <w:t>, 74.</w:t>
      </w:r>
    </w:p>
    <w:p w:rsidR="009F3DF4" w:rsidRPr="009F3DF4" w:rsidRDefault="009F3DF4" w:rsidP="009F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9F3DF4" w:rsidRPr="009F3DF4" w:rsidRDefault="009F3DF4" w:rsidP="009F3DF4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Дата последнего пересмотра.</w:t>
      </w:r>
      <w:r w:rsidRPr="009F3DF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 </w:t>
      </w:r>
      <w:r w:rsidRPr="009F3DF4">
        <w:rPr>
          <w:rFonts w:ascii="Times New Roman" w:hAnsi="Times New Roman" w:cs="Times New Roman"/>
          <w:sz w:val="24"/>
          <w:szCs w:val="24"/>
        </w:rPr>
        <w:t>22.12.2020.</w:t>
      </w:r>
      <w:bookmarkStart w:id="0" w:name="_GoBack"/>
      <w:bookmarkEnd w:id="0"/>
    </w:p>
    <w:p w:rsidR="00680920" w:rsidRDefault="00680920"/>
    <w:sectPr w:rsidR="00680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3568"/>
    <w:multiLevelType w:val="hybridMultilevel"/>
    <w:tmpl w:val="BA2238FC"/>
    <w:lvl w:ilvl="0" w:tplc="FD984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AD"/>
    <w:rsid w:val="00680920"/>
    <w:rsid w:val="009F3DF4"/>
    <w:rsid w:val="00B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CC7C2"/>
  <w15:chartTrackingRefBased/>
  <w15:docId w15:val="{0BB4C663-0500-431B-BA68-8BAAF26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4828</Words>
  <Characters>2753</Characters>
  <Application>Microsoft Office Word</Application>
  <DocSecurity>0</DocSecurity>
  <Lines>22</Lines>
  <Paragraphs>15</Paragraphs>
  <ScaleCrop>false</ScaleCrop>
  <Company>JSC Farmak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Грєвцова Катерина Петрівна</dc:creator>
  <cp:keywords/>
  <dc:description/>
  <cp:lastModifiedBy>Грєвцова Катерина Петрівна</cp:lastModifiedBy>
  <cp:revision>2</cp:revision>
  <dcterms:created xsi:type="dcterms:W3CDTF">2021-03-26T08:54:00Z</dcterms:created>
  <dcterms:modified xsi:type="dcterms:W3CDTF">2021-03-26T09:00:00Z</dcterms:modified>
</cp:coreProperties>
</file>