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FB37" w14:textId="77777777" w:rsidR="004E6C74" w:rsidRPr="001D42F3" w:rsidRDefault="004E6C74" w:rsidP="0095696B">
      <w:pPr>
        <w:pStyle w:val="2"/>
        <w:widowControl/>
        <w:ind w:left="6379"/>
        <w:rPr>
          <w:rFonts w:eastAsia="Times New Roman"/>
          <w:szCs w:val="24"/>
          <w:lang w:val="ru-RU"/>
        </w:rPr>
      </w:pPr>
    </w:p>
    <w:p w14:paraId="18705D9A" w14:textId="77777777" w:rsidR="00F00713" w:rsidRPr="001D42F3" w:rsidRDefault="00F00713" w:rsidP="0095696B">
      <w:pPr>
        <w:pStyle w:val="2"/>
        <w:widowControl/>
        <w:ind w:left="6379"/>
        <w:rPr>
          <w:rFonts w:eastAsia="Times New Roman"/>
          <w:szCs w:val="24"/>
          <w:lang w:val="ru-RU"/>
        </w:rPr>
      </w:pPr>
      <w:r w:rsidRPr="001D42F3">
        <w:rPr>
          <w:rFonts w:eastAsia="Times New Roman"/>
          <w:szCs w:val="24"/>
          <w:lang w:val="ru-RU"/>
        </w:rPr>
        <w:t xml:space="preserve"> Утверждено</w:t>
      </w:r>
    </w:p>
    <w:p w14:paraId="29C390B9" w14:textId="77777777" w:rsidR="00F00713" w:rsidRPr="001D42F3" w:rsidRDefault="00F00713" w:rsidP="001D42F3">
      <w:pPr>
        <w:pStyle w:val="2"/>
        <w:widowControl/>
        <w:ind w:left="6379"/>
        <w:rPr>
          <w:rFonts w:eastAsia="Times New Roman"/>
          <w:szCs w:val="24"/>
          <w:lang w:val="ru-RU"/>
        </w:rPr>
      </w:pPr>
      <w:r w:rsidRPr="001D42F3">
        <w:rPr>
          <w:rFonts w:eastAsia="Times New Roman"/>
          <w:szCs w:val="24"/>
          <w:lang w:val="ru-RU"/>
        </w:rPr>
        <w:t xml:space="preserve">Приказ Министерства </w:t>
      </w:r>
      <w:r w:rsidR="001D42F3" w:rsidRPr="001D42F3">
        <w:rPr>
          <w:rFonts w:eastAsia="Times New Roman"/>
          <w:szCs w:val="24"/>
          <w:lang w:val="ru-RU"/>
        </w:rPr>
        <w:t xml:space="preserve">здравоохранения </w:t>
      </w:r>
      <w:r w:rsidRPr="001D42F3">
        <w:rPr>
          <w:rFonts w:eastAsia="Times New Roman"/>
          <w:szCs w:val="24"/>
          <w:lang w:val="ru-RU"/>
        </w:rPr>
        <w:t>Украины</w:t>
      </w:r>
    </w:p>
    <w:p w14:paraId="4E93D063" w14:textId="77777777" w:rsidR="00F00713" w:rsidRPr="001D42F3" w:rsidRDefault="0095696B" w:rsidP="0095696B">
      <w:pPr>
        <w:pStyle w:val="2"/>
        <w:widowControl/>
        <w:ind w:left="6379"/>
        <w:rPr>
          <w:rFonts w:eastAsia="Times New Roman"/>
          <w:szCs w:val="24"/>
          <w:lang w:val="ru-RU"/>
        </w:rPr>
      </w:pPr>
      <w:r w:rsidRPr="001D42F3">
        <w:rPr>
          <w:rFonts w:eastAsia="Times New Roman"/>
          <w:szCs w:val="24"/>
          <w:lang w:val="ru-RU"/>
        </w:rPr>
        <w:t>20.11.2018 № 2142</w:t>
      </w:r>
    </w:p>
    <w:p w14:paraId="17AE553C" w14:textId="77777777" w:rsidR="00F00713" w:rsidRPr="001D42F3" w:rsidRDefault="001D42F3" w:rsidP="001D42F3">
      <w:pPr>
        <w:pStyle w:val="2"/>
        <w:widowControl/>
        <w:ind w:left="6096"/>
        <w:rPr>
          <w:rFonts w:eastAsia="Times New Roman"/>
          <w:szCs w:val="24"/>
          <w:lang w:val="ru-RU"/>
        </w:rPr>
      </w:pPr>
      <w:r w:rsidRPr="001D42F3">
        <w:rPr>
          <w:rFonts w:eastAsia="Times New Roman"/>
          <w:szCs w:val="24"/>
          <w:lang w:val="ru-RU"/>
        </w:rPr>
        <w:t>Р</w:t>
      </w:r>
      <w:r w:rsidR="00F00713" w:rsidRPr="001D42F3">
        <w:rPr>
          <w:rFonts w:eastAsia="Times New Roman"/>
          <w:szCs w:val="24"/>
          <w:lang w:val="ru-RU"/>
        </w:rPr>
        <w:t>егистрационное удостоверение</w:t>
      </w:r>
    </w:p>
    <w:p w14:paraId="1608AE86" w14:textId="77777777" w:rsidR="00F00713" w:rsidRPr="001D42F3" w:rsidRDefault="00F00713" w:rsidP="001D42F3">
      <w:pPr>
        <w:pStyle w:val="2"/>
        <w:keepNext w:val="0"/>
        <w:widowControl/>
        <w:ind w:left="8364" w:hanging="2126"/>
        <w:rPr>
          <w:rFonts w:eastAsia="Times New Roman"/>
          <w:szCs w:val="24"/>
          <w:lang w:val="ru-RU"/>
        </w:rPr>
      </w:pPr>
      <w:r w:rsidRPr="001D42F3">
        <w:rPr>
          <w:rFonts w:eastAsia="Times New Roman"/>
          <w:szCs w:val="24"/>
          <w:lang w:val="ru-RU"/>
        </w:rPr>
        <w:t xml:space="preserve"> № UA</w:t>
      </w:r>
      <w:r w:rsidR="001D42F3" w:rsidRPr="001D42F3">
        <w:rPr>
          <w:rFonts w:eastAsia="Times New Roman"/>
          <w:szCs w:val="24"/>
          <w:lang w:val="ru-RU"/>
        </w:rPr>
        <w:t>/</w:t>
      </w:r>
      <w:r w:rsidRPr="001D42F3">
        <w:rPr>
          <w:rFonts w:eastAsia="Times New Roman"/>
          <w:szCs w:val="24"/>
          <w:lang w:val="ru-RU"/>
        </w:rPr>
        <w:t>17042/01/01</w:t>
      </w:r>
    </w:p>
    <w:p w14:paraId="661C0858" w14:textId="77777777" w:rsidR="00FA756A" w:rsidRPr="001D42F3" w:rsidRDefault="00F87452" w:rsidP="00FA756A">
      <w:pPr>
        <w:pStyle w:val="2"/>
        <w:keepNext w:val="0"/>
        <w:widowControl/>
        <w:ind w:left="7080"/>
        <w:jc w:val="left"/>
        <w:rPr>
          <w:rFonts w:eastAsia="Times New Roman"/>
          <w:szCs w:val="24"/>
          <w:lang w:val="ru-RU"/>
        </w:rPr>
      </w:pPr>
      <w:r w:rsidRPr="001D42F3">
        <w:rPr>
          <w:rFonts w:eastAsia="Times New Roman"/>
          <w:b w:val="0"/>
          <w:sz w:val="20"/>
          <w:lang w:val="ru-RU"/>
        </w:rPr>
        <w:t xml:space="preserve"> </w:t>
      </w:r>
      <w:r w:rsidR="00FA756A" w:rsidRPr="001D42F3">
        <w:rPr>
          <w:rFonts w:eastAsia="Times New Roman"/>
          <w:szCs w:val="24"/>
          <w:lang w:val="ru-RU"/>
        </w:rPr>
        <w:t>UA</w:t>
      </w:r>
      <w:r w:rsidR="001D42F3" w:rsidRPr="001D42F3">
        <w:rPr>
          <w:rFonts w:eastAsia="Times New Roman"/>
          <w:szCs w:val="24"/>
          <w:lang w:val="ru-RU"/>
        </w:rPr>
        <w:t>/</w:t>
      </w:r>
      <w:r w:rsidR="00FA756A" w:rsidRPr="001D42F3">
        <w:rPr>
          <w:rFonts w:eastAsia="Times New Roman"/>
          <w:szCs w:val="24"/>
          <w:lang w:val="ru-RU"/>
        </w:rPr>
        <w:t>17042/01/02</w:t>
      </w:r>
    </w:p>
    <w:p w14:paraId="5C79049D" w14:textId="77777777" w:rsidR="00F87452" w:rsidRPr="001D42F3" w:rsidRDefault="00F87452" w:rsidP="00F87452">
      <w:pPr>
        <w:rPr>
          <w:lang w:val="ru-RU"/>
        </w:rPr>
      </w:pPr>
    </w:p>
    <w:p w14:paraId="29B2E369" w14:textId="77777777" w:rsidR="00F87452" w:rsidRPr="001D42F3" w:rsidRDefault="00F87452" w:rsidP="001D42F3">
      <w:pPr>
        <w:keepNext/>
        <w:widowControl/>
        <w:ind w:left="6096"/>
        <w:jc w:val="center"/>
        <w:outlineLvl w:val="0"/>
        <w:rPr>
          <w:b/>
          <w:noProof/>
          <w:sz w:val="24"/>
          <w:szCs w:val="24"/>
          <w:lang w:val="ru-RU" w:eastAsia="ru-RU"/>
        </w:rPr>
      </w:pPr>
      <w:r w:rsidRPr="001D42F3">
        <w:rPr>
          <w:b/>
          <w:sz w:val="24"/>
          <w:lang w:val="ru-RU" w:eastAsia="ru-RU"/>
        </w:rPr>
        <w:t>ИЗМЕНЕНИЯ ВНЕСЕНЫ</w:t>
      </w:r>
    </w:p>
    <w:p w14:paraId="4ECB0DF5" w14:textId="77777777" w:rsidR="00F87452" w:rsidRPr="001D42F3" w:rsidRDefault="00F87452" w:rsidP="001D42F3">
      <w:pPr>
        <w:autoSpaceDE w:val="0"/>
        <w:autoSpaceDN w:val="0"/>
        <w:adjustRightInd w:val="0"/>
        <w:ind w:left="6096"/>
        <w:jc w:val="center"/>
        <w:rPr>
          <w:b/>
          <w:noProof/>
          <w:sz w:val="24"/>
          <w:szCs w:val="24"/>
          <w:lang w:val="ru-RU" w:eastAsia="ru-RU"/>
        </w:rPr>
      </w:pPr>
      <w:r w:rsidRPr="001D42F3">
        <w:rPr>
          <w:b/>
          <w:noProof/>
          <w:sz w:val="24"/>
          <w:szCs w:val="24"/>
          <w:lang w:val="ru-RU" w:eastAsia="ru-RU"/>
        </w:rPr>
        <w:t xml:space="preserve">Приказ Министерства </w:t>
      </w:r>
      <w:r w:rsidR="001D42F3" w:rsidRPr="001D42F3">
        <w:rPr>
          <w:b/>
          <w:noProof/>
          <w:sz w:val="24"/>
          <w:szCs w:val="24"/>
          <w:lang w:val="ru-RU" w:eastAsia="ru-RU"/>
        </w:rPr>
        <w:t>здравоохранения</w:t>
      </w:r>
      <w:r w:rsidRPr="001D42F3">
        <w:rPr>
          <w:b/>
          <w:noProof/>
          <w:sz w:val="24"/>
          <w:szCs w:val="24"/>
          <w:lang w:val="ru-RU" w:eastAsia="ru-RU"/>
        </w:rPr>
        <w:t xml:space="preserve"> Украины</w:t>
      </w:r>
    </w:p>
    <w:p w14:paraId="5EE34F89" w14:textId="77777777" w:rsidR="00F87452" w:rsidRPr="001D42F3" w:rsidRDefault="00AB2BC3" w:rsidP="001D42F3">
      <w:pPr>
        <w:autoSpaceDE w:val="0"/>
        <w:autoSpaceDN w:val="0"/>
        <w:ind w:left="6096"/>
        <w:jc w:val="center"/>
        <w:rPr>
          <w:b/>
          <w:noProof/>
          <w:sz w:val="24"/>
          <w:szCs w:val="24"/>
          <w:lang w:val="ru-RU" w:eastAsia="ru-RU"/>
        </w:rPr>
      </w:pPr>
      <w:r w:rsidRPr="001D42F3">
        <w:rPr>
          <w:b/>
          <w:noProof/>
          <w:sz w:val="24"/>
          <w:szCs w:val="24"/>
          <w:lang w:val="ru-RU" w:eastAsia="ru-RU"/>
        </w:rPr>
        <w:t xml:space="preserve"> 30.11.2020 № 2759</w:t>
      </w:r>
    </w:p>
    <w:p w14:paraId="516F2B50" w14:textId="77777777" w:rsidR="00F00713" w:rsidRPr="001D42F3" w:rsidRDefault="00F00713" w:rsidP="00FA756A">
      <w:pPr>
        <w:pStyle w:val="2"/>
        <w:keepNext w:val="0"/>
        <w:widowControl/>
        <w:jc w:val="left"/>
        <w:rPr>
          <w:rFonts w:eastAsia="Times New Roman"/>
          <w:szCs w:val="24"/>
          <w:lang w:val="ru-RU"/>
        </w:rPr>
      </w:pPr>
    </w:p>
    <w:p w14:paraId="30DD6F29" w14:textId="77777777" w:rsidR="00F00713" w:rsidRPr="001D42F3" w:rsidRDefault="00F00713" w:rsidP="0095696B">
      <w:pPr>
        <w:pStyle w:val="2"/>
        <w:keepNext w:val="0"/>
        <w:widowControl/>
        <w:rPr>
          <w:rFonts w:eastAsia="Times New Roman"/>
          <w:szCs w:val="24"/>
          <w:lang w:val="ru-RU"/>
        </w:rPr>
      </w:pPr>
      <w:r w:rsidRPr="001D42F3">
        <w:rPr>
          <w:rFonts w:eastAsia="Times New Roman"/>
          <w:szCs w:val="24"/>
          <w:lang w:val="ru-RU"/>
        </w:rPr>
        <w:t>ИНСТРУКЦИЯ</w:t>
      </w:r>
    </w:p>
    <w:p w14:paraId="39FE3C3B" w14:textId="77777777" w:rsidR="00F00713" w:rsidRPr="001D42F3" w:rsidRDefault="001D42F3" w:rsidP="0095696B">
      <w:pPr>
        <w:widowControl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 </w:t>
      </w:r>
      <w:r w:rsidR="00F00713" w:rsidRPr="001D42F3">
        <w:rPr>
          <w:b/>
          <w:sz w:val="24"/>
          <w:szCs w:val="24"/>
          <w:lang w:val="ru-RU"/>
        </w:rPr>
        <w:t>медицинско</w:t>
      </w:r>
      <w:r>
        <w:rPr>
          <w:b/>
          <w:sz w:val="24"/>
          <w:szCs w:val="24"/>
          <w:lang w:val="ru-RU"/>
        </w:rPr>
        <w:t>му применению</w:t>
      </w:r>
      <w:r w:rsidR="00F00713" w:rsidRPr="001D42F3">
        <w:rPr>
          <w:b/>
          <w:sz w:val="24"/>
          <w:szCs w:val="24"/>
          <w:lang w:val="ru-RU"/>
        </w:rPr>
        <w:t xml:space="preserve"> лекарственного средства</w:t>
      </w:r>
    </w:p>
    <w:p w14:paraId="69597015" w14:textId="77777777" w:rsidR="00F00713" w:rsidRPr="001D42F3" w:rsidRDefault="00F00713" w:rsidP="0095696B">
      <w:pPr>
        <w:widowControl/>
        <w:jc w:val="center"/>
        <w:rPr>
          <w:b/>
          <w:caps/>
          <w:sz w:val="24"/>
          <w:szCs w:val="24"/>
          <w:lang w:val="ru-RU"/>
        </w:rPr>
      </w:pPr>
    </w:p>
    <w:p w14:paraId="272DCEDD" w14:textId="77777777" w:rsidR="00F00713" w:rsidRPr="001D42F3" w:rsidRDefault="00F00713" w:rsidP="0095696B">
      <w:pPr>
        <w:widowControl/>
        <w:jc w:val="center"/>
        <w:rPr>
          <w:b/>
          <w:caps/>
          <w:sz w:val="24"/>
          <w:szCs w:val="24"/>
          <w:vertAlign w:val="superscript"/>
          <w:lang w:val="ru-RU"/>
        </w:rPr>
      </w:pPr>
      <w:r w:rsidRPr="001D42F3">
        <w:rPr>
          <w:b/>
          <w:caps/>
          <w:sz w:val="24"/>
          <w:szCs w:val="24"/>
          <w:lang w:val="ru-RU"/>
        </w:rPr>
        <w:t>РЕВМОКСИКАМ</w:t>
      </w:r>
    </w:p>
    <w:p w14:paraId="2365CA15" w14:textId="77777777" w:rsidR="00F00713" w:rsidRPr="001D42F3" w:rsidRDefault="00F00713" w:rsidP="0095696B">
      <w:pPr>
        <w:jc w:val="center"/>
        <w:rPr>
          <w:b/>
          <w:sz w:val="24"/>
          <w:szCs w:val="24"/>
          <w:lang w:val="ru-RU"/>
        </w:rPr>
      </w:pPr>
      <w:r w:rsidRPr="001D42F3">
        <w:rPr>
          <w:b/>
          <w:sz w:val="24"/>
          <w:szCs w:val="24"/>
          <w:lang w:val="ru-RU"/>
        </w:rPr>
        <w:t>(REUMOXICAM</w:t>
      </w:r>
      <w:r w:rsidRPr="001D42F3">
        <w:rPr>
          <w:b/>
          <w:sz w:val="24"/>
          <w:szCs w:val="24"/>
          <w:vertAlign w:val="superscript"/>
          <w:lang w:val="ru-RU"/>
        </w:rPr>
        <w:t>®</w:t>
      </w:r>
      <w:r w:rsidRPr="001D42F3">
        <w:rPr>
          <w:b/>
          <w:sz w:val="24"/>
          <w:szCs w:val="24"/>
          <w:lang w:val="ru-RU"/>
        </w:rPr>
        <w:t>)</w:t>
      </w:r>
    </w:p>
    <w:p w14:paraId="13063A49" w14:textId="77777777" w:rsidR="00F00713" w:rsidRPr="001D42F3" w:rsidRDefault="00F00713" w:rsidP="00EC5F52">
      <w:pPr>
        <w:widowControl/>
        <w:rPr>
          <w:b/>
          <w:sz w:val="24"/>
          <w:szCs w:val="24"/>
          <w:lang w:val="ru-RU"/>
        </w:rPr>
      </w:pPr>
    </w:p>
    <w:p w14:paraId="70F6ADE6" w14:textId="77777777" w:rsidR="00F00713" w:rsidRPr="001D42F3" w:rsidRDefault="001D42F3" w:rsidP="0095696B">
      <w:pPr>
        <w:jc w:val="both"/>
        <w:rPr>
          <w:b/>
          <w:sz w:val="24"/>
          <w:szCs w:val="24"/>
          <w:lang w:val="ru-RU"/>
        </w:rPr>
      </w:pPr>
      <w:r w:rsidRPr="001D42F3">
        <w:rPr>
          <w:b/>
          <w:i/>
          <w:sz w:val="24"/>
          <w:szCs w:val="24"/>
          <w:lang w:val="ru-RU"/>
        </w:rPr>
        <w:t>Состав</w:t>
      </w:r>
      <w:r w:rsidR="00BB5D5D">
        <w:rPr>
          <w:b/>
          <w:i/>
          <w:sz w:val="24"/>
          <w:szCs w:val="24"/>
          <w:lang w:val="ru-RU"/>
        </w:rPr>
        <w:t>:</w:t>
      </w:r>
    </w:p>
    <w:p w14:paraId="427A5747" w14:textId="77777777" w:rsidR="007D4249" w:rsidRPr="001D42F3" w:rsidRDefault="00F00713" w:rsidP="0095696B">
      <w:pPr>
        <w:widowControl/>
        <w:jc w:val="both"/>
        <w:rPr>
          <w:i/>
          <w:sz w:val="24"/>
          <w:szCs w:val="24"/>
          <w:lang w:val="ru-RU"/>
        </w:rPr>
      </w:pPr>
      <w:r w:rsidRPr="001D42F3">
        <w:rPr>
          <w:i/>
          <w:sz w:val="24"/>
          <w:szCs w:val="24"/>
          <w:lang w:val="ru-RU"/>
        </w:rPr>
        <w:t>действующее вещество:</w:t>
      </w:r>
      <w:r w:rsidR="001D42F3">
        <w:rPr>
          <w:i/>
          <w:sz w:val="24"/>
          <w:szCs w:val="24"/>
          <w:lang w:val="ru-RU"/>
        </w:rPr>
        <w:t xml:space="preserve"> </w:t>
      </w:r>
      <w:r w:rsidR="007D4249" w:rsidRPr="001D42F3">
        <w:rPr>
          <w:sz w:val="24"/>
          <w:szCs w:val="24"/>
          <w:lang w:val="ru-RU"/>
        </w:rPr>
        <w:t>мелоксикам;</w:t>
      </w:r>
    </w:p>
    <w:p w14:paraId="6A73090B" w14:textId="77777777" w:rsidR="00F00713" w:rsidRPr="001D42F3" w:rsidRDefault="001F0D2E" w:rsidP="0095696B">
      <w:pPr>
        <w:widowControl/>
        <w:jc w:val="both"/>
        <w:rPr>
          <w:sz w:val="24"/>
          <w:szCs w:val="24"/>
          <w:lang w:val="ru-RU"/>
        </w:rPr>
      </w:pPr>
      <w:r w:rsidRPr="001F0D2E">
        <w:rPr>
          <w:sz w:val="24"/>
          <w:szCs w:val="24"/>
          <w:lang w:val="ru-RU"/>
        </w:rPr>
        <w:t>1 таблетка содержит мелоксикама – 7,5 мг или 15 мг (в пересчете на 100 % безводное вещество)</w:t>
      </w:r>
    </w:p>
    <w:p w14:paraId="5A2EEB6C" w14:textId="77777777" w:rsidR="00F00713" w:rsidRPr="001D42F3" w:rsidRDefault="00F00713" w:rsidP="0095696B">
      <w:pPr>
        <w:widowControl/>
        <w:jc w:val="both"/>
        <w:rPr>
          <w:sz w:val="24"/>
          <w:szCs w:val="24"/>
          <w:lang w:val="ru-RU"/>
        </w:rPr>
      </w:pPr>
      <w:r w:rsidRPr="001D42F3">
        <w:rPr>
          <w:i/>
          <w:sz w:val="24"/>
          <w:szCs w:val="24"/>
          <w:lang w:val="ru-RU"/>
        </w:rPr>
        <w:t>вспомогательные вещества</w:t>
      </w:r>
      <w:r w:rsidRPr="001D42F3">
        <w:rPr>
          <w:sz w:val="24"/>
          <w:szCs w:val="24"/>
          <w:lang w:val="ru-RU"/>
        </w:rPr>
        <w:t xml:space="preserve">: </w:t>
      </w:r>
      <w:r w:rsidR="001F0D2E" w:rsidRPr="001F0D2E">
        <w:rPr>
          <w:sz w:val="24"/>
          <w:szCs w:val="24"/>
          <w:lang w:val="ru-RU"/>
        </w:rPr>
        <w:t>лактоза, моногидрат; целлюлоза микрокристаллическая; повидон; натрия цитрат; кросповидон; кремния диоксид коллоидный безводный; магния стеарат</w:t>
      </w:r>
      <w:r w:rsidRPr="001D42F3">
        <w:rPr>
          <w:sz w:val="24"/>
          <w:szCs w:val="24"/>
          <w:lang w:val="ru-RU"/>
        </w:rPr>
        <w:t>.</w:t>
      </w:r>
    </w:p>
    <w:p w14:paraId="550A74CF" w14:textId="77777777" w:rsidR="00F00713" w:rsidRPr="001D42F3" w:rsidRDefault="00F00713" w:rsidP="0095696B">
      <w:pPr>
        <w:widowControl/>
        <w:jc w:val="both"/>
        <w:rPr>
          <w:b/>
          <w:sz w:val="24"/>
          <w:szCs w:val="24"/>
          <w:lang w:val="ru-RU"/>
        </w:rPr>
      </w:pPr>
    </w:p>
    <w:p w14:paraId="0D301C98" w14:textId="77777777" w:rsidR="00F00713" w:rsidRPr="001D42F3" w:rsidRDefault="00F00713" w:rsidP="0095696B">
      <w:pPr>
        <w:widowControl/>
        <w:jc w:val="both"/>
        <w:rPr>
          <w:sz w:val="24"/>
          <w:lang w:val="ru-RU"/>
        </w:rPr>
      </w:pPr>
      <w:r w:rsidRPr="001D42F3">
        <w:rPr>
          <w:b/>
          <w:sz w:val="24"/>
          <w:lang w:val="ru-RU"/>
        </w:rPr>
        <w:t xml:space="preserve">Лекарственная форма. </w:t>
      </w:r>
      <w:r w:rsidRPr="001D42F3">
        <w:rPr>
          <w:sz w:val="24"/>
          <w:lang w:val="ru-RU"/>
        </w:rPr>
        <w:t>Таблетки.</w:t>
      </w:r>
    </w:p>
    <w:p w14:paraId="09C59C35" w14:textId="77777777" w:rsidR="00FE6671" w:rsidRPr="001D42F3" w:rsidRDefault="007D4249" w:rsidP="0095696B">
      <w:pPr>
        <w:pStyle w:val="11"/>
        <w:jc w:val="both"/>
        <w:rPr>
          <w:sz w:val="24"/>
        </w:rPr>
      </w:pPr>
      <w:r w:rsidRPr="001D42F3">
        <w:rPr>
          <w:i/>
          <w:sz w:val="24"/>
          <w:szCs w:val="24"/>
        </w:rPr>
        <w:t>Основные физико-химические свойства:</w:t>
      </w:r>
      <w:r w:rsidR="001F0D2E">
        <w:rPr>
          <w:i/>
          <w:sz w:val="24"/>
          <w:szCs w:val="24"/>
        </w:rPr>
        <w:t xml:space="preserve"> </w:t>
      </w:r>
      <w:r w:rsidR="00FE6671" w:rsidRPr="001D42F3">
        <w:rPr>
          <w:sz w:val="24"/>
        </w:rPr>
        <w:t xml:space="preserve">таблетки круглой формы, с плоской поверхностью, фаской и риской, желтого цвета. </w:t>
      </w:r>
    </w:p>
    <w:p w14:paraId="7D065E70" w14:textId="77777777" w:rsidR="00F00713" w:rsidRPr="001D42F3" w:rsidRDefault="00F00713" w:rsidP="0095696B">
      <w:pPr>
        <w:ind w:right="-206"/>
        <w:jc w:val="both"/>
        <w:rPr>
          <w:sz w:val="24"/>
          <w:lang w:val="ru-RU"/>
        </w:rPr>
      </w:pPr>
    </w:p>
    <w:p w14:paraId="7861EFF0" w14:textId="77777777" w:rsidR="00F00713" w:rsidRPr="001D42F3" w:rsidRDefault="00F00713" w:rsidP="0095696B">
      <w:pPr>
        <w:jc w:val="both"/>
        <w:rPr>
          <w:b/>
          <w:sz w:val="24"/>
          <w:szCs w:val="24"/>
          <w:lang w:val="ru-RU"/>
        </w:rPr>
      </w:pPr>
      <w:r w:rsidRPr="001D42F3">
        <w:rPr>
          <w:b/>
          <w:sz w:val="24"/>
          <w:szCs w:val="24"/>
          <w:lang w:val="ru-RU"/>
        </w:rPr>
        <w:t>Фармакологическая группа.</w:t>
      </w:r>
    </w:p>
    <w:p w14:paraId="603EB0C3" w14:textId="77777777" w:rsidR="00F00713" w:rsidRPr="001D42F3" w:rsidRDefault="00F00713" w:rsidP="0095696B">
      <w:pPr>
        <w:jc w:val="both"/>
        <w:rPr>
          <w:sz w:val="24"/>
          <w:szCs w:val="24"/>
          <w:lang w:val="ru-RU"/>
        </w:rPr>
      </w:pPr>
      <w:r w:rsidRPr="001D42F3">
        <w:rPr>
          <w:sz w:val="24"/>
          <w:szCs w:val="24"/>
          <w:lang w:val="ru-RU"/>
        </w:rPr>
        <w:t>Нестероидные противовоспалительные препараты и противо</w:t>
      </w:r>
      <w:r w:rsidR="001F0D2E">
        <w:rPr>
          <w:sz w:val="24"/>
          <w:szCs w:val="24"/>
          <w:lang w:val="ru-RU"/>
        </w:rPr>
        <w:t>ревматические</w:t>
      </w:r>
      <w:r w:rsidRPr="001D42F3">
        <w:rPr>
          <w:sz w:val="24"/>
          <w:szCs w:val="24"/>
          <w:lang w:val="ru-RU"/>
        </w:rPr>
        <w:t xml:space="preserve"> средства. Код АТХ М01А С06.</w:t>
      </w:r>
    </w:p>
    <w:p w14:paraId="60101C4D" w14:textId="77777777" w:rsidR="00F00713" w:rsidRPr="001D42F3" w:rsidRDefault="00F00713" w:rsidP="0095696B">
      <w:pPr>
        <w:widowControl/>
        <w:jc w:val="both"/>
        <w:rPr>
          <w:sz w:val="24"/>
          <w:szCs w:val="24"/>
          <w:lang w:val="ru-RU"/>
        </w:rPr>
      </w:pPr>
    </w:p>
    <w:p w14:paraId="651AB2A7" w14:textId="77777777" w:rsidR="00F00713" w:rsidRPr="001D42F3" w:rsidRDefault="00F00713" w:rsidP="0095696B">
      <w:pPr>
        <w:widowControl/>
        <w:jc w:val="both"/>
        <w:rPr>
          <w:b/>
          <w:i/>
          <w:sz w:val="24"/>
          <w:szCs w:val="24"/>
          <w:lang w:val="ru-RU"/>
        </w:rPr>
      </w:pPr>
      <w:r w:rsidRPr="001D42F3">
        <w:rPr>
          <w:b/>
          <w:i/>
          <w:sz w:val="24"/>
          <w:szCs w:val="24"/>
          <w:lang w:val="ru-RU"/>
        </w:rPr>
        <w:t>Фармакологические свойства.</w:t>
      </w:r>
    </w:p>
    <w:p w14:paraId="4C449419" w14:textId="77777777" w:rsidR="00F00713" w:rsidRPr="001D42F3" w:rsidRDefault="00F00713" w:rsidP="0095696B">
      <w:pPr>
        <w:widowControl/>
        <w:jc w:val="both"/>
        <w:rPr>
          <w:i/>
          <w:sz w:val="24"/>
          <w:szCs w:val="24"/>
          <w:lang w:val="ru-RU"/>
        </w:rPr>
      </w:pPr>
      <w:r w:rsidRPr="001D42F3">
        <w:rPr>
          <w:i/>
          <w:sz w:val="24"/>
          <w:szCs w:val="24"/>
          <w:lang w:val="ru-RU"/>
        </w:rPr>
        <w:t>Фармако</w:t>
      </w:r>
      <w:r w:rsidR="0054166F">
        <w:rPr>
          <w:i/>
          <w:sz w:val="24"/>
          <w:szCs w:val="24"/>
          <w:lang w:val="ru-RU"/>
        </w:rPr>
        <w:t>динамика</w:t>
      </w:r>
      <w:r w:rsidRPr="001D42F3">
        <w:rPr>
          <w:i/>
          <w:sz w:val="24"/>
          <w:szCs w:val="24"/>
          <w:lang w:val="ru-RU"/>
        </w:rPr>
        <w:t>.</w:t>
      </w:r>
    </w:p>
    <w:p w14:paraId="7DF25E57" w14:textId="77777777" w:rsidR="0054166F" w:rsidRPr="0054166F" w:rsidRDefault="00880096" w:rsidP="0054166F">
      <w:pPr>
        <w:widowControl/>
        <w:jc w:val="both"/>
        <w:rPr>
          <w:sz w:val="24"/>
          <w:szCs w:val="24"/>
          <w:lang w:val="ru-RU"/>
        </w:rPr>
      </w:pPr>
      <w:r w:rsidRPr="001D42F3">
        <w:rPr>
          <w:sz w:val="24"/>
          <w:szCs w:val="24"/>
          <w:lang w:val="ru-RU"/>
        </w:rPr>
        <w:t>Р</w:t>
      </w:r>
      <w:r w:rsidR="0054166F" w:rsidRPr="001D42F3">
        <w:rPr>
          <w:sz w:val="24"/>
          <w:szCs w:val="24"/>
          <w:lang w:val="ru-RU"/>
        </w:rPr>
        <w:t>евмоксикам</w:t>
      </w:r>
      <w:r w:rsidRPr="001D42F3">
        <w:rPr>
          <w:sz w:val="24"/>
          <w:szCs w:val="24"/>
          <w:lang w:val="ru-RU"/>
        </w:rPr>
        <w:t xml:space="preserve"> </w:t>
      </w:r>
      <w:r w:rsidR="0054166F" w:rsidRPr="001D42F3">
        <w:rPr>
          <w:sz w:val="24"/>
          <w:szCs w:val="24"/>
          <w:lang w:val="ru-RU"/>
        </w:rPr>
        <w:t xml:space="preserve">— </w:t>
      </w:r>
      <w:r w:rsidR="0054166F" w:rsidRPr="0054166F">
        <w:rPr>
          <w:sz w:val="24"/>
          <w:szCs w:val="24"/>
          <w:lang w:val="ru-RU"/>
        </w:rPr>
        <w:t>это нестероидный противовоспалительный лекарственный препарат (НПВП) класса енолиевой кислоты, который обладает противовоспалительным, анальгетическим и антипиретическим эффектами.</w:t>
      </w:r>
    </w:p>
    <w:p w14:paraId="561A38F3" w14:textId="77777777" w:rsidR="00F00713" w:rsidRPr="001D42F3" w:rsidRDefault="0054166F" w:rsidP="0054166F">
      <w:pPr>
        <w:widowControl/>
        <w:jc w:val="both"/>
        <w:rPr>
          <w:sz w:val="24"/>
          <w:szCs w:val="24"/>
          <w:lang w:val="ru-RU"/>
        </w:rPr>
      </w:pPr>
      <w:r w:rsidRPr="0054166F">
        <w:rPr>
          <w:sz w:val="24"/>
          <w:szCs w:val="24"/>
          <w:lang w:val="ru-RU"/>
        </w:rPr>
        <w:t>Мелоксикам проявил высокую противовоспалительную активность на всех стандартных моделях воспаления. Как и для других НПВП, его точный механизм действия остается неизвестным. Однако есть общий механизм развития для всех НПВП (включая мелоксикам): угнетение биосинтеза простагландинов, которые являются медиаторами воспаления</w:t>
      </w:r>
      <w:r w:rsidR="00F00713" w:rsidRPr="001D42F3">
        <w:rPr>
          <w:sz w:val="24"/>
          <w:szCs w:val="24"/>
          <w:lang w:val="ru-RU"/>
        </w:rPr>
        <w:t>.</w:t>
      </w:r>
    </w:p>
    <w:p w14:paraId="47079A2B" w14:textId="77777777" w:rsidR="00F00713" w:rsidRPr="001D42F3" w:rsidRDefault="00F00713" w:rsidP="0095696B">
      <w:pPr>
        <w:widowControl/>
        <w:jc w:val="both"/>
        <w:rPr>
          <w:i/>
          <w:sz w:val="24"/>
          <w:szCs w:val="24"/>
          <w:lang w:val="ru-RU"/>
        </w:rPr>
      </w:pPr>
      <w:r w:rsidRPr="001D42F3">
        <w:rPr>
          <w:i/>
          <w:sz w:val="24"/>
          <w:szCs w:val="24"/>
          <w:lang w:val="ru-RU"/>
        </w:rPr>
        <w:t>Фармакокинетика.</w:t>
      </w:r>
    </w:p>
    <w:p w14:paraId="09B23FF0" w14:textId="77777777" w:rsidR="003107CB" w:rsidRPr="006658C9" w:rsidRDefault="003107CB" w:rsidP="003107CB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Абсорбция.</w:t>
      </w:r>
      <w:r w:rsidR="00EA210A">
        <w:rPr>
          <w:i/>
          <w:sz w:val="24"/>
          <w:szCs w:val="24"/>
          <w:lang w:val="ru-RU"/>
        </w:rPr>
        <w:t xml:space="preserve"> </w:t>
      </w:r>
      <w:r w:rsidRPr="006658C9">
        <w:rPr>
          <w:sz w:val="24"/>
          <w:szCs w:val="24"/>
          <w:lang w:val="ru-RU"/>
        </w:rPr>
        <w:t>Мелоксикам хорошо абсорбируется из желудочно-кишечного тракта при пероральном применении, абсолютная биодоступность препарата составляет 90 %. После разового применения мелоксикама максимальная концентрация в плазме крови достигается в течение 5–6 часов для твердых пероральных форм.</w:t>
      </w:r>
    </w:p>
    <w:p w14:paraId="164B8546" w14:textId="77777777" w:rsidR="003107CB" w:rsidRPr="006658C9" w:rsidRDefault="003107CB" w:rsidP="003107CB">
      <w:pPr>
        <w:widowControl/>
        <w:jc w:val="both"/>
        <w:rPr>
          <w:i/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При многократном дозировании стабильные концентрации достигаются на 3–5-е сутки. Дозировка 1 раз в сутки приводит к средней концентрации в плазме крови с относительно малыми колебаниями пиков: в пределах 0,4–1,0 мкг/мл для 7,5 мг и 0,8–2,0 мкг/мл для 15 мг соответственно (</w:t>
      </w:r>
      <w:r w:rsidRPr="00EA210A">
        <w:rPr>
          <w:sz w:val="24"/>
          <w:szCs w:val="24"/>
        </w:rPr>
        <w:t>C</w:t>
      </w:r>
      <w:r w:rsidRPr="00EA210A">
        <w:rPr>
          <w:sz w:val="24"/>
          <w:szCs w:val="24"/>
          <w:vertAlign w:val="subscript"/>
        </w:rPr>
        <w:t>min</w:t>
      </w:r>
      <w:r w:rsidR="00EA210A">
        <w:rPr>
          <w:sz w:val="24"/>
          <w:szCs w:val="24"/>
          <w:vertAlign w:val="subscript"/>
          <w:lang w:val="ru-RU"/>
        </w:rPr>
        <w:t xml:space="preserve"> </w:t>
      </w:r>
      <w:r w:rsidRPr="006658C9">
        <w:rPr>
          <w:sz w:val="24"/>
          <w:szCs w:val="24"/>
          <w:lang w:val="ru-RU"/>
        </w:rPr>
        <w:t xml:space="preserve">и </w:t>
      </w:r>
      <w:r w:rsidRPr="00EA210A">
        <w:rPr>
          <w:sz w:val="24"/>
          <w:szCs w:val="24"/>
        </w:rPr>
        <w:t>C</w:t>
      </w:r>
      <w:r w:rsidRPr="00EA210A">
        <w:rPr>
          <w:sz w:val="24"/>
          <w:szCs w:val="24"/>
          <w:vertAlign w:val="subscript"/>
        </w:rPr>
        <w:t>max</w:t>
      </w:r>
      <w:r w:rsidR="00EA210A">
        <w:rPr>
          <w:sz w:val="24"/>
          <w:szCs w:val="24"/>
          <w:lang w:val="ru-RU"/>
        </w:rPr>
        <w:t xml:space="preserve"> </w:t>
      </w:r>
      <w:r w:rsidRPr="006658C9">
        <w:rPr>
          <w:sz w:val="24"/>
          <w:szCs w:val="24"/>
          <w:lang w:val="ru-RU"/>
        </w:rPr>
        <w:t>в стабильном состоянии соответственно). Средние концентрации мелоксикама в плазме крови в стабильном состоянии достигаются в течение 5–6 часов. Одновременный прием пищи или применения неорганических антацидов не влияет на абсорбцию препарата</w:t>
      </w:r>
      <w:r w:rsidRPr="006658C9">
        <w:rPr>
          <w:i/>
          <w:sz w:val="24"/>
          <w:szCs w:val="24"/>
          <w:lang w:val="ru-RU"/>
        </w:rPr>
        <w:t>.</w:t>
      </w:r>
    </w:p>
    <w:p w14:paraId="6A4492E9" w14:textId="77777777" w:rsidR="003107CB" w:rsidRPr="006658C9" w:rsidRDefault="003107CB" w:rsidP="003107CB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Распределение.</w:t>
      </w:r>
      <w:r w:rsidR="00EA210A">
        <w:rPr>
          <w:i/>
          <w:sz w:val="24"/>
          <w:szCs w:val="24"/>
          <w:lang w:val="ru-RU"/>
        </w:rPr>
        <w:t xml:space="preserve"> </w:t>
      </w:r>
      <w:r w:rsidRPr="006658C9">
        <w:rPr>
          <w:sz w:val="24"/>
          <w:szCs w:val="24"/>
          <w:lang w:val="ru-RU"/>
        </w:rPr>
        <w:t xml:space="preserve">Мелоксикам очень прочно связывается с белками плазмы крови, главным образом с альбумином (99 %). Мелоксикам проникает в синовиальную жидкость, </w:t>
      </w:r>
      <w:r w:rsidRPr="006658C9">
        <w:rPr>
          <w:sz w:val="24"/>
          <w:szCs w:val="24"/>
          <w:lang w:val="ru-RU"/>
        </w:rPr>
        <w:lastRenderedPageBreak/>
        <w:t>концентрация в которой в половину меньше, чем в плазме крови. Объем распределения низкий, в среднем 11 л после внутримышечного или внутривенного применения, и показывает индивидуальные отклонения в пределах 7–20 %. Объем распределения после применения многократных пероральных доз мелоксикама (от 7,5 до 15 мг) составляет 16 л с коэффициентом отклонения в пределах от 11 % до 32 %.</w:t>
      </w:r>
    </w:p>
    <w:p w14:paraId="63C4F598" w14:textId="77777777" w:rsidR="003107CB" w:rsidRPr="006658C9" w:rsidRDefault="003107CB" w:rsidP="003107CB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Биотрансформация</w:t>
      </w:r>
      <w:r w:rsidRPr="006658C9">
        <w:rPr>
          <w:sz w:val="24"/>
          <w:szCs w:val="24"/>
          <w:lang w:val="ru-RU"/>
        </w:rPr>
        <w:t>. Мелоксикам подлежит экстенсивной биотрансформации в печени.</w:t>
      </w:r>
    </w:p>
    <w:p w14:paraId="160EB937" w14:textId="77777777" w:rsidR="003107CB" w:rsidRPr="00FE5E62" w:rsidRDefault="003107CB" w:rsidP="003107CB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В моче было идентифицировано четыре различных метаболита мелоксикама, которые являются фармакодинамически неактивными. Основной метаболит 5′-карбоксимелоксикам (60 % дозы) формируется путем окисления промежуточного метаболита 5′-гидроксиметилмелоксикама, который также выделяется, но в меньшей степени (9 % дозы). Исследования</w:t>
      </w:r>
      <w:r w:rsidR="00EA210A">
        <w:rPr>
          <w:sz w:val="24"/>
          <w:szCs w:val="24"/>
          <w:lang w:val="ru-RU"/>
        </w:rPr>
        <w:t xml:space="preserve"> </w:t>
      </w:r>
      <w:r w:rsidRPr="00EA210A">
        <w:rPr>
          <w:i/>
          <w:iCs/>
          <w:sz w:val="24"/>
          <w:szCs w:val="24"/>
        </w:rPr>
        <w:t>in</w:t>
      </w:r>
      <w:r w:rsidRPr="006658C9">
        <w:rPr>
          <w:i/>
          <w:iCs/>
          <w:sz w:val="24"/>
          <w:szCs w:val="24"/>
          <w:lang w:val="ru-RU"/>
        </w:rPr>
        <w:t xml:space="preserve"> </w:t>
      </w:r>
      <w:r w:rsidRPr="00EA210A">
        <w:rPr>
          <w:i/>
          <w:iCs/>
          <w:sz w:val="24"/>
          <w:szCs w:val="24"/>
        </w:rPr>
        <w:t>vitro</w:t>
      </w:r>
      <w:r w:rsidR="00EA210A">
        <w:rPr>
          <w:sz w:val="24"/>
          <w:szCs w:val="24"/>
          <w:lang w:val="ru-RU"/>
        </w:rPr>
        <w:t xml:space="preserve"> </w:t>
      </w:r>
      <w:r w:rsidRPr="006658C9">
        <w:rPr>
          <w:sz w:val="24"/>
          <w:szCs w:val="24"/>
          <w:lang w:val="ru-RU"/>
        </w:rPr>
        <w:t xml:space="preserve">предполагают, что </w:t>
      </w:r>
      <w:r w:rsidRPr="00EA210A">
        <w:rPr>
          <w:sz w:val="24"/>
          <w:szCs w:val="24"/>
        </w:rPr>
        <w:t>CYP</w:t>
      </w:r>
      <w:r w:rsidRPr="006658C9">
        <w:rPr>
          <w:sz w:val="24"/>
          <w:szCs w:val="24"/>
          <w:lang w:val="ru-RU"/>
        </w:rPr>
        <w:t xml:space="preserve"> 2</w:t>
      </w:r>
      <w:r w:rsidRPr="00EA210A">
        <w:rPr>
          <w:sz w:val="24"/>
          <w:szCs w:val="24"/>
        </w:rPr>
        <w:t>C</w:t>
      </w:r>
      <w:r w:rsidRPr="006658C9">
        <w:rPr>
          <w:sz w:val="24"/>
          <w:szCs w:val="24"/>
          <w:lang w:val="ru-RU"/>
        </w:rPr>
        <w:t xml:space="preserve">9 играет важную роль в процессе метаболизма, тогда как </w:t>
      </w:r>
      <w:r w:rsidRPr="00EA210A">
        <w:rPr>
          <w:sz w:val="24"/>
          <w:szCs w:val="24"/>
        </w:rPr>
        <w:t>CYP</w:t>
      </w:r>
      <w:r w:rsidRPr="006658C9">
        <w:rPr>
          <w:sz w:val="24"/>
          <w:szCs w:val="24"/>
          <w:lang w:val="ru-RU"/>
        </w:rPr>
        <w:t xml:space="preserve"> 3А4 изоэнзимы менее значимы. Пероксидаза у пациентов, </w:t>
      </w:r>
      <w:r w:rsidRPr="00FE5E62">
        <w:rPr>
          <w:sz w:val="24"/>
          <w:szCs w:val="24"/>
          <w:lang w:val="ru-RU"/>
        </w:rPr>
        <w:t>вероятно, ответственна за два других метаболита, которые составляют 16 % и 4 % назначенной дозы соответственно.</w:t>
      </w:r>
    </w:p>
    <w:p w14:paraId="4DE42329" w14:textId="77777777" w:rsidR="003107CB" w:rsidRPr="00FE5E62" w:rsidRDefault="003107CB" w:rsidP="003107CB">
      <w:pPr>
        <w:widowControl/>
        <w:jc w:val="both"/>
        <w:rPr>
          <w:i/>
          <w:sz w:val="24"/>
          <w:szCs w:val="24"/>
          <w:lang w:val="ru-RU"/>
        </w:rPr>
      </w:pPr>
      <w:r w:rsidRPr="00FE5E62">
        <w:rPr>
          <w:i/>
          <w:iCs/>
          <w:sz w:val="24"/>
          <w:szCs w:val="24"/>
          <w:lang w:val="ru-RU"/>
        </w:rPr>
        <w:t>Элиминация.</w:t>
      </w:r>
      <w:r w:rsidR="00EA210A" w:rsidRPr="00FE5E62">
        <w:rPr>
          <w:i/>
          <w:sz w:val="24"/>
          <w:szCs w:val="24"/>
          <w:lang w:val="ru-RU"/>
        </w:rPr>
        <w:t xml:space="preserve"> </w:t>
      </w:r>
      <w:r w:rsidRPr="00FE5E62">
        <w:rPr>
          <w:sz w:val="24"/>
          <w:szCs w:val="24"/>
          <w:lang w:val="ru-RU"/>
        </w:rPr>
        <w:t>Выведение мелоксикама происходит в основном в форме метаболитов в равных частях с мочой и калом. Менее 5 % суточной дозы выделяется в неизмененном состоянии с калом, незначительное количество выделяется в неизмененном виде с мочой. Период полувыведения колеблется от 13 до 25 часов после перорального, внутримышечного и внутривенного применения. Плазменный клиренс составляет около 7–12 мл/мин после разовой пероральной дозы, внутривенного или ректального применения</w:t>
      </w:r>
      <w:r w:rsidRPr="00FE5E62">
        <w:rPr>
          <w:i/>
          <w:sz w:val="24"/>
          <w:szCs w:val="24"/>
          <w:lang w:val="ru-RU"/>
        </w:rPr>
        <w:t>.</w:t>
      </w:r>
    </w:p>
    <w:p w14:paraId="4425ADDE" w14:textId="77777777" w:rsidR="003107CB" w:rsidRPr="00FE5E62" w:rsidRDefault="003107CB" w:rsidP="003107CB">
      <w:pPr>
        <w:widowControl/>
        <w:jc w:val="both"/>
        <w:rPr>
          <w:sz w:val="24"/>
          <w:szCs w:val="24"/>
          <w:lang w:val="ru-RU"/>
        </w:rPr>
      </w:pPr>
      <w:r w:rsidRPr="00FE5E62">
        <w:rPr>
          <w:i/>
          <w:iCs/>
          <w:sz w:val="24"/>
          <w:szCs w:val="24"/>
          <w:lang w:val="ru-RU"/>
        </w:rPr>
        <w:t>Линейность дозы.</w:t>
      </w:r>
      <w:r w:rsidR="00EA210A" w:rsidRPr="00FE5E62">
        <w:rPr>
          <w:i/>
          <w:sz w:val="24"/>
          <w:szCs w:val="24"/>
          <w:lang w:val="ru-RU"/>
        </w:rPr>
        <w:t xml:space="preserve"> </w:t>
      </w:r>
      <w:r w:rsidRPr="00FE5E62">
        <w:rPr>
          <w:sz w:val="24"/>
          <w:szCs w:val="24"/>
          <w:lang w:val="ru-RU"/>
        </w:rPr>
        <w:t>Мелоксикам проявляет линейную фармакокинетику в пределах терапевтической дозы от 7,5 мг до 15 мг после перорального и внутримышечного применения.</w:t>
      </w:r>
    </w:p>
    <w:p w14:paraId="748BEC8C" w14:textId="77777777" w:rsidR="003107CB" w:rsidRPr="00FE5E62" w:rsidRDefault="003107CB" w:rsidP="003107CB">
      <w:pPr>
        <w:widowControl/>
        <w:jc w:val="both"/>
        <w:rPr>
          <w:i/>
          <w:sz w:val="24"/>
          <w:szCs w:val="24"/>
          <w:lang w:val="ru-RU"/>
        </w:rPr>
      </w:pPr>
      <w:r w:rsidRPr="00FE5E62">
        <w:rPr>
          <w:i/>
          <w:iCs/>
          <w:sz w:val="24"/>
          <w:szCs w:val="24"/>
          <w:lang w:val="ru-RU"/>
        </w:rPr>
        <w:t>Особые группы больных</w:t>
      </w:r>
      <w:r w:rsidRPr="00FE5E62">
        <w:rPr>
          <w:i/>
          <w:sz w:val="24"/>
          <w:szCs w:val="24"/>
          <w:lang w:val="ru-RU"/>
        </w:rPr>
        <w:t>.</w:t>
      </w:r>
    </w:p>
    <w:p w14:paraId="36FE9AF7" w14:textId="77777777" w:rsidR="003107CB" w:rsidRPr="00FE5E62" w:rsidRDefault="003107CB" w:rsidP="003107CB">
      <w:pPr>
        <w:widowControl/>
        <w:jc w:val="both"/>
        <w:rPr>
          <w:i/>
          <w:sz w:val="24"/>
          <w:szCs w:val="24"/>
          <w:lang w:val="ru-RU"/>
        </w:rPr>
      </w:pPr>
      <w:r w:rsidRPr="00FE5E62">
        <w:rPr>
          <w:i/>
          <w:iCs/>
          <w:sz w:val="24"/>
          <w:szCs w:val="24"/>
          <w:lang w:val="ru-RU"/>
        </w:rPr>
        <w:t>Пациенты с печеночной/почечной недостаточностью.</w:t>
      </w:r>
      <w:r w:rsidR="00EA210A" w:rsidRPr="00FE5E62">
        <w:rPr>
          <w:i/>
          <w:iCs/>
          <w:sz w:val="24"/>
          <w:szCs w:val="24"/>
          <w:lang w:val="ru-RU"/>
        </w:rPr>
        <w:t xml:space="preserve"> </w:t>
      </w:r>
      <w:r w:rsidRPr="00FE5E62">
        <w:rPr>
          <w:sz w:val="24"/>
          <w:szCs w:val="24"/>
          <w:lang w:val="ru-RU"/>
        </w:rPr>
        <w:t>Печеночная и почечная недостаточность от легкой до умеренной степени существенно не влияют на фармакокинетику мелоксикама. Пациенты с умеренной степенью почечной недостаточности имели значительно более высокий общий клиренс. Сниженное связывание с белками плазмы крови наблюдалось у пациентов с терминальной почечной недостаточностью. При терминальной почечной недостаточности увеличение объема распределения может привести к увеличению концентрации свободного мелоксикама. Не следует превышать суточную дозу 7,5 мг (см. раздел «Способ применения и дозы»).</w:t>
      </w:r>
    </w:p>
    <w:p w14:paraId="6CC3FB6F" w14:textId="34392802" w:rsidR="00F00713" w:rsidRPr="00FE5E62" w:rsidRDefault="003107CB" w:rsidP="0095696B">
      <w:pPr>
        <w:widowControl/>
        <w:jc w:val="both"/>
        <w:rPr>
          <w:sz w:val="24"/>
          <w:szCs w:val="24"/>
          <w:lang w:val="ru-RU"/>
        </w:rPr>
      </w:pPr>
      <w:r w:rsidRPr="00FE5E62">
        <w:rPr>
          <w:i/>
          <w:iCs/>
          <w:sz w:val="24"/>
          <w:szCs w:val="24"/>
          <w:lang w:val="ru-RU"/>
        </w:rPr>
        <w:t>Пациенты пожилого возраста</w:t>
      </w:r>
      <w:r w:rsidRPr="00FE5E62">
        <w:rPr>
          <w:i/>
          <w:sz w:val="24"/>
          <w:szCs w:val="24"/>
          <w:lang w:val="ru-RU"/>
        </w:rPr>
        <w:t xml:space="preserve">. </w:t>
      </w:r>
      <w:r w:rsidRPr="00FE5E62">
        <w:rPr>
          <w:sz w:val="24"/>
          <w:szCs w:val="24"/>
          <w:lang w:val="ru-RU"/>
        </w:rPr>
        <w:t>У пациентов пожилого возраста мужского пола средние фармакокинетические параметры подобны таковым у молодых добровольцев мужского пола. У пациентов пожилого возраста женского пола значение AUC выше и период полувыведения длиннее по сравнению с таковыми у молодых добровольцев обоих полов. Средний клиренс плазмы в равновесном состоянии у пациентов пожилого возраста был несколько ниже, чем у молодых добровольцев</w:t>
      </w:r>
      <w:bookmarkStart w:id="0" w:name="_GoBack"/>
      <w:bookmarkEnd w:id="0"/>
      <w:r w:rsidR="00F00713" w:rsidRPr="00FE5E62">
        <w:rPr>
          <w:sz w:val="24"/>
          <w:szCs w:val="24"/>
          <w:lang w:val="ru-RU"/>
        </w:rPr>
        <w:t>.</w:t>
      </w:r>
    </w:p>
    <w:p w14:paraId="3591D2E0" w14:textId="77777777" w:rsidR="00F00713" w:rsidRPr="00FE5E62" w:rsidRDefault="00F00713" w:rsidP="0095696B">
      <w:pPr>
        <w:widowControl/>
        <w:jc w:val="both"/>
        <w:rPr>
          <w:sz w:val="24"/>
          <w:szCs w:val="24"/>
          <w:lang w:val="ru-RU"/>
        </w:rPr>
      </w:pPr>
    </w:p>
    <w:p w14:paraId="3653B776" w14:textId="77777777" w:rsidR="00F00713" w:rsidRPr="00FE5E62" w:rsidRDefault="00F00713" w:rsidP="0095696B">
      <w:pPr>
        <w:jc w:val="both"/>
        <w:rPr>
          <w:b/>
          <w:sz w:val="24"/>
          <w:szCs w:val="24"/>
          <w:lang w:val="ru-RU"/>
        </w:rPr>
      </w:pPr>
      <w:r w:rsidRPr="00FE5E62">
        <w:rPr>
          <w:b/>
          <w:sz w:val="24"/>
          <w:szCs w:val="24"/>
          <w:lang w:val="ru-RU"/>
        </w:rPr>
        <w:t>Клинические характеристики.</w:t>
      </w:r>
    </w:p>
    <w:p w14:paraId="44B20CC6" w14:textId="77777777" w:rsidR="00F00713" w:rsidRPr="00FE5E62" w:rsidRDefault="00F00713" w:rsidP="0095696B">
      <w:pPr>
        <w:jc w:val="both"/>
        <w:rPr>
          <w:sz w:val="24"/>
          <w:szCs w:val="24"/>
          <w:lang w:val="ru-RU"/>
        </w:rPr>
      </w:pPr>
      <w:r w:rsidRPr="00FE5E62">
        <w:rPr>
          <w:b/>
          <w:i/>
          <w:sz w:val="24"/>
          <w:szCs w:val="24"/>
          <w:lang w:val="ru-RU"/>
        </w:rPr>
        <w:t>Показания.</w:t>
      </w:r>
    </w:p>
    <w:p w14:paraId="7DA0D8C6" w14:textId="77777777" w:rsidR="00F00713" w:rsidRPr="001D42F3" w:rsidRDefault="00F00713" w:rsidP="0095696B">
      <w:pPr>
        <w:jc w:val="both"/>
        <w:rPr>
          <w:sz w:val="24"/>
          <w:szCs w:val="24"/>
          <w:lang w:val="ru-RU"/>
        </w:rPr>
      </w:pPr>
      <w:r w:rsidRPr="00FE5E62">
        <w:rPr>
          <w:sz w:val="24"/>
          <w:szCs w:val="24"/>
          <w:lang w:val="ru-RU"/>
        </w:rPr>
        <w:t>Кратковременное симптоматическое лечение обострения</w:t>
      </w:r>
      <w:r w:rsidRPr="001D42F3">
        <w:rPr>
          <w:sz w:val="24"/>
          <w:szCs w:val="24"/>
          <w:lang w:val="ru-RU"/>
        </w:rPr>
        <w:t xml:space="preserve"> остеоартроза.</w:t>
      </w:r>
    </w:p>
    <w:p w14:paraId="1EA923C2" w14:textId="77777777" w:rsidR="00F00713" w:rsidRPr="001D42F3" w:rsidRDefault="002D078E" w:rsidP="0095696B">
      <w:pPr>
        <w:jc w:val="both"/>
        <w:rPr>
          <w:sz w:val="24"/>
          <w:szCs w:val="24"/>
          <w:lang w:val="ru-RU"/>
        </w:rPr>
      </w:pPr>
      <w:r w:rsidRPr="002D078E">
        <w:rPr>
          <w:sz w:val="24"/>
          <w:szCs w:val="24"/>
          <w:lang w:val="ru-RU"/>
        </w:rPr>
        <w:t>Длительное симптоматическое лечение ревматоидного артрита и анкилозирующего спондилита</w:t>
      </w:r>
      <w:r w:rsidR="00F00713" w:rsidRPr="001D42F3">
        <w:rPr>
          <w:sz w:val="24"/>
          <w:szCs w:val="24"/>
          <w:lang w:val="ru-RU"/>
        </w:rPr>
        <w:t>.</w:t>
      </w:r>
    </w:p>
    <w:p w14:paraId="59CD9ED2" w14:textId="77777777" w:rsidR="00F00713" w:rsidRPr="001D42F3" w:rsidRDefault="00F00713" w:rsidP="0095696B">
      <w:pPr>
        <w:widowControl/>
        <w:jc w:val="both"/>
        <w:rPr>
          <w:sz w:val="24"/>
          <w:lang w:val="ru-RU"/>
        </w:rPr>
      </w:pPr>
    </w:p>
    <w:p w14:paraId="4052B3DC" w14:textId="77777777" w:rsidR="00F00713" w:rsidRPr="001D42F3" w:rsidRDefault="00F00713" w:rsidP="0095696B">
      <w:pPr>
        <w:widowControl/>
        <w:jc w:val="both"/>
        <w:rPr>
          <w:b/>
          <w:sz w:val="24"/>
          <w:lang w:val="ru-RU"/>
        </w:rPr>
      </w:pPr>
      <w:r w:rsidRPr="001D42F3">
        <w:rPr>
          <w:b/>
          <w:i/>
          <w:sz w:val="24"/>
          <w:lang w:val="ru-RU"/>
        </w:rPr>
        <w:t>Противопоказания.</w:t>
      </w:r>
    </w:p>
    <w:p w14:paraId="3FCAC308" w14:textId="77777777" w:rsidR="00F00713" w:rsidRPr="001D42F3" w:rsidRDefault="00435B2D" w:rsidP="0095696B">
      <w:pPr>
        <w:pStyle w:val="a7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435B2D">
        <w:rPr>
          <w:lang w:val="ru-RU"/>
        </w:rPr>
        <w:t>Гиперчувствительность к действующему веществу или другим составляющим лекарственного средства, или к активным веществам с подобным действием, таким как нестероидные противовоспалительные лекарственные средства (НПВС), аспирин. Мелоксикам не следует назначать пациентам, у которых возникали симптомы астмы, носовые полипы, ангионевротический отек или крапивница после приема аспирина или других НПВС</w:t>
      </w:r>
    </w:p>
    <w:p w14:paraId="60A8E804" w14:textId="77777777" w:rsidR="00F00713" w:rsidRPr="001D42F3" w:rsidRDefault="00435B2D" w:rsidP="0095696B">
      <w:pPr>
        <w:pStyle w:val="a7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435B2D">
        <w:rPr>
          <w:lang w:val="ru-RU"/>
        </w:rPr>
        <w:t>III триместр беременности (см. раздел «Применение в период беременности или кормления грудью»)</w:t>
      </w:r>
      <w:r w:rsidR="00F00713" w:rsidRPr="001D42F3">
        <w:rPr>
          <w:lang w:val="ru-RU"/>
        </w:rPr>
        <w:t>;</w:t>
      </w:r>
    </w:p>
    <w:p w14:paraId="4AD9C0B0" w14:textId="77777777" w:rsidR="00F00713" w:rsidRPr="001D42F3" w:rsidRDefault="00F00713" w:rsidP="0095696B">
      <w:pPr>
        <w:pStyle w:val="a7"/>
        <w:numPr>
          <w:ilvl w:val="0"/>
          <w:numId w:val="1"/>
        </w:numPr>
        <w:ind w:left="284" w:hanging="284"/>
        <w:jc w:val="both"/>
        <w:rPr>
          <w:lang w:val="ru-RU"/>
        </w:rPr>
      </w:pPr>
      <w:r w:rsidRPr="001D42F3">
        <w:rPr>
          <w:lang w:val="ru-RU"/>
        </w:rPr>
        <w:t>дети до 16 лет;</w:t>
      </w:r>
    </w:p>
    <w:p w14:paraId="1EC1F49C" w14:textId="77777777" w:rsidR="00435B2D" w:rsidRPr="00435B2D" w:rsidRDefault="00435B2D" w:rsidP="00435B2D">
      <w:pPr>
        <w:pStyle w:val="a7"/>
        <w:numPr>
          <w:ilvl w:val="0"/>
          <w:numId w:val="1"/>
        </w:numPr>
        <w:ind w:left="284"/>
        <w:jc w:val="both"/>
        <w:rPr>
          <w:lang w:val="ru-RU"/>
        </w:rPr>
      </w:pPr>
      <w:r w:rsidRPr="00435B2D">
        <w:rPr>
          <w:lang w:val="ru-RU"/>
        </w:rPr>
        <w:t>желудочно-кишечное кровотечение или перфорация, связанная с предшествующей терапией НПВС в анамнезе;</w:t>
      </w:r>
    </w:p>
    <w:p w14:paraId="11D1C1E4" w14:textId="77777777" w:rsidR="00435B2D" w:rsidRPr="00435B2D" w:rsidRDefault="00435B2D" w:rsidP="00435B2D">
      <w:pPr>
        <w:pStyle w:val="a7"/>
        <w:numPr>
          <w:ilvl w:val="0"/>
          <w:numId w:val="1"/>
        </w:numPr>
        <w:ind w:left="284"/>
        <w:jc w:val="both"/>
        <w:rPr>
          <w:lang w:val="ru-RU"/>
        </w:rPr>
      </w:pPr>
      <w:r w:rsidRPr="00435B2D">
        <w:rPr>
          <w:lang w:val="ru-RU"/>
        </w:rPr>
        <w:t>активная или рецидивирующая пептическая язва/кровотечение в анамнезе (два или более отдельных подтвержденных случаев язвы или кровотечения);</w:t>
      </w:r>
    </w:p>
    <w:p w14:paraId="37080AAA" w14:textId="77777777" w:rsidR="00435B2D" w:rsidRPr="00435B2D" w:rsidRDefault="00435B2D" w:rsidP="00435B2D">
      <w:pPr>
        <w:pStyle w:val="a7"/>
        <w:numPr>
          <w:ilvl w:val="0"/>
          <w:numId w:val="1"/>
        </w:numPr>
        <w:ind w:left="284"/>
        <w:jc w:val="both"/>
        <w:rPr>
          <w:lang w:val="ru-RU"/>
        </w:rPr>
      </w:pPr>
      <w:r w:rsidRPr="00435B2D">
        <w:rPr>
          <w:lang w:val="ru-RU"/>
        </w:rPr>
        <w:t>тяжелая печеночная недостаточность;</w:t>
      </w:r>
    </w:p>
    <w:p w14:paraId="4A8DF67F" w14:textId="77777777" w:rsidR="00435B2D" w:rsidRPr="00435B2D" w:rsidRDefault="00435B2D" w:rsidP="00435B2D">
      <w:pPr>
        <w:pStyle w:val="a7"/>
        <w:numPr>
          <w:ilvl w:val="0"/>
          <w:numId w:val="1"/>
        </w:numPr>
        <w:ind w:left="284"/>
        <w:jc w:val="both"/>
        <w:rPr>
          <w:lang w:val="ru-RU"/>
        </w:rPr>
      </w:pPr>
      <w:r w:rsidRPr="00435B2D">
        <w:rPr>
          <w:lang w:val="ru-RU"/>
        </w:rPr>
        <w:t>тяжелая почечная недостаточность без применения диализа;</w:t>
      </w:r>
    </w:p>
    <w:p w14:paraId="43363EB4" w14:textId="77777777" w:rsidR="00435B2D" w:rsidRPr="00435B2D" w:rsidRDefault="00435B2D" w:rsidP="00435B2D">
      <w:pPr>
        <w:pStyle w:val="a7"/>
        <w:numPr>
          <w:ilvl w:val="0"/>
          <w:numId w:val="1"/>
        </w:numPr>
        <w:ind w:left="284"/>
        <w:jc w:val="both"/>
        <w:rPr>
          <w:lang w:val="ru-RU"/>
        </w:rPr>
      </w:pPr>
      <w:r w:rsidRPr="00435B2D">
        <w:rPr>
          <w:lang w:val="ru-RU"/>
        </w:rPr>
        <w:t>желудочно-кишечное кровотечение, цереброваскулярное кровотечение в анамнезе или другие нарушения свертываемости крови;</w:t>
      </w:r>
    </w:p>
    <w:p w14:paraId="13104DB2" w14:textId="77777777" w:rsidR="00435B2D" w:rsidRPr="00435B2D" w:rsidRDefault="00435B2D" w:rsidP="00435B2D">
      <w:pPr>
        <w:pStyle w:val="a7"/>
        <w:numPr>
          <w:ilvl w:val="0"/>
          <w:numId w:val="1"/>
        </w:numPr>
        <w:ind w:left="284"/>
        <w:jc w:val="both"/>
        <w:rPr>
          <w:lang w:val="ru-RU"/>
        </w:rPr>
      </w:pPr>
      <w:r w:rsidRPr="00435B2D">
        <w:rPr>
          <w:lang w:val="ru-RU"/>
        </w:rPr>
        <w:t>тяжелая сердечная недостаточность;</w:t>
      </w:r>
    </w:p>
    <w:p w14:paraId="73815205" w14:textId="77777777" w:rsidR="00F00713" w:rsidRPr="00435B2D" w:rsidRDefault="00435B2D" w:rsidP="00435B2D">
      <w:pPr>
        <w:pStyle w:val="a7"/>
        <w:numPr>
          <w:ilvl w:val="0"/>
          <w:numId w:val="1"/>
        </w:numPr>
        <w:ind w:left="284"/>
        <w:jc w:val="both"/>
        <w:rPr>
          <w:lang w:val="ru-RU"/>
        </w:rPr>
      </w:pPr>
      <w:r w:rsidRPr="00435B2D">
        <w:rPr>
          <w:lang w:val="ru-RU"/>
        </w:rPr>
        <w:t>лечения периоперационной боли при коронарном шунтировании (КШ)</w:t>
      </w:r>
      <w:r w:rsidR="00F00713" w:rsidRPr="00435B2D">
        <w:rPr>
          <w:lang w:val="ru-RU"/>
        </w:rPr>
        <w:t>.</w:t>
      </w:r>
    </w:p>
    <w:p w14:paraId="43347809" w14:textId="77777777" w:rsidR="00F00713" w:rsidRPr="001D42F3" w:rsidRDefault="00F00713" w:rsidP="0095696B">
      <w:pPr>
        <w:widowControl/>
        <w:jc w:val="both"/>
        <w:rPr>
          <w:i/>
          <w:sz w:val="24"/>
          <w:lang w:val="ru-RU"/>
        </w:rPr>
      </w:pPr>
    </w:p>
    <w:p w14:paraId="4EEDD29A" w14:textId="77777777" w:rsidR="00F00713" w:rsidRPr="001D42F3" w:rsidRDefault="00F00713" w:rsidP="0095696B">
      <w:pPr>
        <w:jc w:val="both"/>
        <w:rPr>
          <w:b/>
          <w:i/>
          <w:sz w:val="24"/>
          <w:szCs w:val="24"/>
          <w:lang w:val="ru-RU"/>
        </w:rPr>
      </w:pPr>
      <w:r w:rsidRPr="001D42F3">
        <w:rPr>
          <w:b/>
          <w:i/>
          <w:sz w:val="24"/>
          <w:szCs w:val="24"/>
          <w:lang w:val="ru-RU"/>
        </w:rPr>
        <w:t>Взаимодействие с другими лекарственными средствами и другие виды взаимодействий.</w:t>
      </w:r>
    </w:p>
    <w:p w14:paraId="14B535EA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lang w:val="ru-RU"/>
        </w:rPr>
        <w:t>Исследования по взаимодействию проводили только с участием взрослых.</w:t>
      </w:r>
    </w:p>
    <w:p w14:paraId="06E20EEE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i/>
          <w:lang w:val="ru-RU"/>
        </w:rPr>
      </w:pPr>
      <w:r w:rsidRPr="00435B2D">
        <w:rPr>
          <w:rFonts w:ascii="Times New Roman" w:hAnsi="Times New Roman"/>
          <w:i/>
          <w:lang w:val="ru-RU"/>
        </w:rPr>
        <w:t>Риски, связанные с гиперкалиемией</w:t>
      </w:r>
    </w:p>
    <w:p w14:paraId="2963676D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lang w:val="ru-RU"/>
        </w:rPr>
        <w:t>Некоторые лекарственные средства или терапевтические группы могут способствовать гиперкалиемии: калиевые соли, калийсберегающие диуретики, ингибиторы ангиотензинпревращающего фермента (АПФ), антагонисты рецепторов ангиотензина II, нестероидные противовоспалительные препараты, низкомолекулярные или нефракционированные гепарины, циклоспорин, такролимус и триметоприм.</w:t>
      </w:r>
    </w:p>
    <w:p w14:paraId="65838574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lang w:val="ru-RU"/>
        </w:rPr>
        <w:t>Начало гиперкалиемии может зависеть от того, есть ли связанные с ней факторы. Риск появления гиперкалиемии повышается в случае, если вышеупомянутые лекарственные средства применять вместе с мелоксикамом.</w:t>
      </w:r>
    </w:p>
    <w:p w14:paraId="01A3B093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i/>
          <w:lang w:val="ru-RU"/>
        </w:rPr>
      </w:pPr>
      <w:r w:rsidRPr="00435B2D">
        <w:rPr>
          <w:rFonts w:ascii="Times New Roman" w:hAnsi="Times New Roman"/>
          <w:i/>
          <w:lang w:val="ru-RU"/>
        </w:rPr>
        <w:t>Фармакодинамические взаимодействия.</w:t>
      </w:r>
    </w:p>
    <w:p w14:paraId="7FB9AD6C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Другие нестероидные противовоспалительные препараты и ацетилсалициловая кислота</w:t>
      </w:r>
      <w:r w:rsidRPr="00435B2D">
        <w:rPr>
          <w:rFonts w:ascii="Times New Roman" w:hAnsi="Times New Roman"/>
          <w:lang w:val="ru-RU"/>
        </w:rPr>
        <w:t>. Не рекомендуется комбинация с другими НПВП (см. раздел «Особенности применения»), включая ацетилсалициловую кислоту в дозах ≥ 500 мг за один прием или ≥ 3 г общей суточной дозы.</w:t>
      </w:r>
    </w:p>
    <w:p w14:paraId="113F0704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Кортикостероиды (например глюкокортикоиды).</w:t>
      </w:r>
      <w:r w:rsidRPr="00435B2D">
        <w:rPr>
          <w:rFonts w:ascii="Times New Roman" w:hAnsi="Times New Roman"/>
          <w:lang w:val="ru-RU"/>
        </w:rPr>
        <w:t xml:space="preserve"> Одновременное применение с кортикостероидами требует осторожности из-за повышенного риска кровотечения или появление язв в желудочно-кишечном тракте.</w:t>
      </w:r>
    </w:p>
    <w:p w14:paraId="39FCF05B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Антикоагулянты или гепарин.</w:t>
      </w:r>
      <w:r w:rsidRPr="00435B2D">
        <w:rPr>
          <w:rFonts w:ascii="Times New Roman" w:hAnsi="Times New Roman"/>
          <w:lang w:val="ru-RU"/>
        </w:rPr>
        <w:t xml:space="preserve"> Значительно повышается риск кровотечений вследствие угнетения функции тромбоцитов и повреждения гастродуоденальной слизистой оболочки. НПВП могут усиливать эффекты антикоагулянтов, таких как варфарин (см. раздел «Особенности применения»). Не рекомендуется одновременное применение НПВП и антикоагулянтов или гепарина в гериатрической практике или в терапевтических дозах (см. раздел «Особенности применения»).</w:t>
      </w:r>
    </w:p>
    <w:p w14:paraId="379DACF9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lang w:val="ru-RU"/>
        </w:rPr>
        <w:t>В других случаях (например, при профилактических дозах) применения гепарина нужна осторожность из-за повышенного риска кровотечений. Необходим тщательный контроль международного нормализованного отношения (МНО), если доказана невозможность избежания данной комбинации.</w:t>
      </w:r>
    </w:p>
    <w:p w14:paraId="3701A519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Тромболитические и антиагрегационные лекарственные средства:</w:t>
      </w:r>
      <w:r w:rsidRPr="00435B2D">
        <w:rPr>
          <w:rFonts w:ascii="Times New Roman" w:hAnsi="Times New Roman"/>
          <w:lang w:val="ru-RU"/>
        </w:rPr>
        <w:t xml:space="preserve"> повышенный риск кровотечений вследствие угнетения функции тромбоцитов и повреждения гастродуоденальной слизистой оболочки.</w:t>
      </w:r>
    </w:p>
    <w:p w14:paraId="55278559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Селективные ингибиторы обратного захвата серотонина (СИОЗС).</w:t>
      </w:r>
      <w:r w:rsidRPr="00435B2D">
        <w:rPr>
          <w:rFonts w:ascii="Times New Roman" w:hAnsi="Times New Roman"/>
          <w:lang w:val="ru-RU"/>
        </w:rPr>
        <w:t xml:space="preserve"> Повышенный риск желудочно-кишечного кровотечения.</w:t>
      </w:r>
    </w:p>
    <w:p w14:paraId="68339C4B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Диуретики, ингибиторы АПФ и антагонисты ангиотензина II</w:t>
      </w:r>
      <w:r w:rsidRPr="00435B2D">
        <w:rPr>
          <w:rFonts w:ascii="Times New Roman" w:hAnsi="Times New Roman"/>
          <w:lang w:val="ru-RU"/>
        </w:rPr>
        <w:t>. НПВП могут снижать эффект диуретиков и других антигипертензивных лекарственных средств. У некоторых пациентов с нарушением функции почек (например пациенты с дегидратацией или пациенты пожилого возраста с нарушением функции почек) одновременное применение ингибиторов АПФ или антагонистов ангиотензина II и лекарственных средств, угнетающих циклооксигеназу, может привести к дальнейшему ухудшению функции почек, включая возможную острую почечную недостаточность, которая обычно является обратимой. Поэтому комбинацию следует применять с осторожностью, особенно пациентам пожилого возраста. Пациентам необходимо получать адекватное количество жидкости, а также следует контролировать почечную функцию после начала совместной терапии и периодически в дальнейшем (см. раздел «Особенности применения»).</w:t>
      </w:r>
    </w:p>
    <w:p w14:paraId="1EFFD7D8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Другие антигипертензивные лекарственные средства (например бета-адреноблокаторы).</w:t>
      </w:r>
      <w:r w:rsidRPr="00435B2D">
        <w:rPr>
          <w:rFonts w:ascii="Times New Roman" w:hAnsi="Times New Roman"/>
          <w:lang w:val="ru-RU"/>
        </w:rPr>
        <w:t xml:space="preserve"> Как и для нижеуказанных лекарственных средств, возможно снижение антигипертензивного эффекта бета-блокаторов (вследствие угнетения простагландинов с сосудорасширяющим эффектом).</w:t>
      </w:r>
    </w:p>
    <w:p w14:paraId="580830D7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Ингибиторы кальциневрина (например циклоспорин, такролимус).</w:t>
      </w:r>
      <w:r w:rsidRPr="00435B2D">
        <w:rPr>
          <w:rFonts w:ascii="Times New Roman" w:hAnsi="Times New Roman"/>
          <w:lang w:val="ru-RU"/>
        </w:rPr>
        <w:t xml:space="preserve"> Нефротоксичность ингибиторов кальциневрина может усиливаться НПВП вследствие медиации эффектов почечных простагландинов. Во время лечения следует контролировать почечную функцию. Рекомендован тщательный контроль функции почек, особенно у пациентов пожилого возраста.</w:t>
      </w:r>
    </w:p>
    <w:p w14:paraId="4D468ADC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i/>
          <w:lang w:val="ru-RU"/>
        </w:rPr>
      </w:pPr>
      <w:r w:rsidRPr="00435B2D">
        <w:rPr>
          <w:rFonts w:ascii="Times New Roman" w:hAnsi="Times New Roman"/>
          <w:i/>
          <w:lang w:val="ru-RU"/>
        </w:rPr>
        <w:t>Деферасирокс.</w:t>
      </w:r>
    </w:p>
    <w:p w14:paraId="264A0333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lang w:val="ru-RU"/>
        </w:rPr>
        <w:t>Сопутствующее применение мелоксикама и деферасирокса может повысить риск желудочно-кишечных побочных реакций. Следует проявлять осторожность при комбинировании этих лекарственных средств.</w:t>
      </w:r>
    </w:p>
    <w:p w14:paraId="006976E0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i/>
          <w:lang w:val="ru-RU"/>
        </w:rPr>
      </w:pPr>
      <w:r w:rsidRPr="00435B2D">
        <w:rPr>
          <w:rFonts w:ascii="Times New Roman" w:hAnsi="Times New Roman"/>
          <w:i/>
          <w:lang w:val="ru-RU"/>
        </w:rPr>
        <w:t>Фармакокинетическое взаимодействие: влияние мелоксикама на фармакокинетику других лекарственных средств.</w:t>
      </w:r>
    </w:p>
    <w:p w14:paraId="69021D74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Литий.</w:t>
      </w:r>
      <w:r w:rsidRPr="00435B2D">
        <w:rPr>
          <w:rFonts w:ascii="Times New Roman" w:hAnsi="Times New Roman"/>
          <w:lang w:val="ru-RU"/>
        </w:rPr>
        <w:t xml:space="preserve"> Есть данные о НПВП, которые повышают уровень концентрации лития в плазме крови (вследствие снижения почечной экскреции лития), которые могут достичь токсичных величин. Одновременное применение лития и НПВП не рекомендуется (см. раздел «Особенности применения»). Если комбинированная терапия необходима, следует тщательно контролировать содержание лития в плазме крови в начале лечения, при подборе дозы и при прекращении лечения мелоксикамом.</w:t>
      </w:r>
    </w:p>
    <w:p w14:paraId="1130E02F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Метотрексат.</w:t>
      </w:r>
      <w:r w:rsidRPr="00435B2D">
        <w:rPr>
          <w:rFonts w:ascii="Times New Roman" w:hAnsi="Times New Roman"/>
          <w:lang w:val="ru-RU"/>
        </w:rPr>
        <w:t xml:space="preserve"> НПВП могут уменьшать тубулярную секрецию метотрексата, тем самым повышая концентрацию его в плазме крови. По этой причине не рекомендуется сопутствующе применять НПВП пациентам, которые принимают высокую дозу метотрексата (более 15 мг/неделю) (см. раздел «Особенности применения»). Риск взаимодействия НПВП и метотрексата следует учитывать также пациентам с низкой дозой метотрексата, в частности у пациентов с нарушенной функцией почек. В случае, когда требуется комбинированное лечение, необходимо контролировать показатели анализа крови и функции почек. Следует соблюдать осторожность, когда прием НПВП и метотрексата длится 3 дня подряд, поскольку плазменный уровень метотрексата может повыситься и усилить токсичность. Хотя фармакокинетика метотрексата (15 мг/нед</w:t>
      </w:r>
      <w:r w:rsidR="00BB5D5D">
        <w:rPr>
          <w:rFonts w:ascii="Times New Roman" w:hAnsi="Times New Roman"/>
          <w:lang w:val="ru-RU"/>
        </w:rPr>
        <w:t>ел</w:t>
      </w:r>
      <w:r w:rsidR="008D3E1E">
        <w:rPr>
          <w:rFonts w:ascii="Times New Roman" w:hAnsi="Times New Roman"/>
          <w:lang w:val="ru-RU"/>
        </w:rPr>
        <w:t>ю</w:t>
      </w:r>
      <w:r w:rsidRPr="00435B2D">
        <w:rPr>
          <w:rFonts w:ascii="Times New Roman" w:hAnsi="Times New Roman"/>
          <w:lang w:val="ru-RU"/>
        </w:rPr>
        <w:t>) не претерпела влияния сопутствующего лечения мелоксикамом, следует считать, что гематологическая токсичность метотрексата может возрастать при лечении НПВП (см. информацию, приведенную выше) (см. раздел «Побочные реакции»).</w:t>
      </w:r>
    </w:p>
    <w:p w14:paraId="1B15224D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Пеметрексед.</w:t>
      </w:r>
      <w:r w:rsidRPr="00435B2D">
        <w:rPr>
          <w:rFonts w:ascii="Times New Roman" w:hAnsi="Times New Roman"/>
          <w:lang w:val="ru-RU"/>
        </w:rPr>
        <w:t xml:space="preserve"> При сопутствующем применении мелоксикама с пеметрекседом у пациентов с легкой и умеренной почечной недостаточностью (клиренс креатинина от 45 до 79 мл/мин), прием мелоксикама следует приостановить на 5 дней до введения пеметрекседа, в день введения и на 2 дня после введения. Если комбинация мелоксикама с пеметрекседом необходима, пациентов следует тщательно контролировать, особенно относительно появления миелосупрессии и желудочно-кишечных побочных реакций. Для пациентов с тяжелой почечной недостаточностью (клиренс креатинина ниже 45 мл/мин) сопутствующее применение мелоксикама с пеметрекседом не рекомендуется.</w:t>
      </w:r>
    </w:p>
    <w:p w14:paraId="14D1926E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lang w:val="ru-RU"/>
        </w:rPr>
        <w:t>Для пациентов с нормальной функцией почек (клиренс креатинина ≥ 80 мл/мин), дозы 15 мг мелоксикама могут уменьшить элиминацию пеметрекседа, а следовательно, увеличить частоту возникновения побочных реакций, связанных с пеметрекседом. Таким образом, следует проявлять осторожность при назначении 15 мг мелоксикама одновременно с пеметрекседом для пациентов с нормальной функцией почек (клиренс креатинина ≥ 80 мл/мин).</w:t>
      </w:r>
    </w:p>
    <w:p w14:paraId="46EB511D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i/>
          <w:lang w:val="ru-RU"/>
        </w:rPr>
      </w:pPr>
      <w:r w:rsidRPr="00435B2D">
        <w:rPr>
          <w:rFonts w:ascii="Times New Roman" w:hAnsi="Times New Roman"/>
          <w:i/>
          <w:lang w:val="ru-RU"/>
        </w:rPr>
        <w:t>Фармакокинетическое взаимодействие: влияние других лекарственных средств на фармакокинетику мелоксикама.</w:t>
      </w:r>
    </w:p>
    <w:p w14:paraId="4C93A67E" w14:textId="77777777" w:rsidR="00435B2D" w:rsidRPr="00435B2D" w:rsidRDefault="00435B2D" w:rsidP="00435B2D">
      <w:pPr>
        <w:pStyle w:val="a5"/>
        <w:widowControl/>
        <w:rPr>
          <w:rFonts w:ascii="Times New Roman" w:hAnsi="Times New Roman"/>
          <w:lang w:val="ru-RU"/>
        </w:rPr>
      </w:pPr>
      <w:r w:rsidRPr="00435B2D">
        <w:rPr>
          <w:rFonts w:ascii="Times New Roman" w:hAnsi="Times New Roman"/>
          <w:i/>
          <w:lang w:val="ru-RU"/>
        </w:rPr>
        <w:t>Холестирамин.</w:t>
      </w:r>
      <w:r w:rsidRPr="00435B2D">
        <w:rPr>
          <w:rFonts w:ascii="Times New Roman" w:hAnsi="Times New Roman"/>
          <w:lang w:val="ru-RU"/>
        </w:rPr>
        <w:t xml:space="preserve"> Холестирамин ускоряет выведение мелоксикама вследствие нарушения внутрипеченочной циркуляции, поэтому клиренс мелоксикама повышается на 50 % и период полувыведения снижается до 13 ± 3 часа. Это взаимодействие является клинически значимым.</w:t>
      </w:r>
    </w:p>
    <w:p w14:paraId="57670B43" w14:textId="77777777" w:rsidR="00F00713" w:rsidRPr="001D42F3" w:rsidRDefault="00435B2D" w:rsidP="00435B2D">
      <w:pPr>
        <w:pStyle w:val="a5"/>
        <w:widowControl/>
        <w:rPr>
          <w:rFonts w:ascii="Times New Roman" w:hAnsi="Times New Roman"/>
          <w:szCs w:val="24"/>
          <w:lang w:val="ru-RU"/>
        </w:rPr>
      </w:pPr>
      <w:r w:rsidRPr="00435B2D">
        <w:rPr>
          <w:rFonts w:ascii="Times New Roman" w:hAnsi="Times New Roman"/>
          <w:lang w:val="ru-RU"/>
        </w:rPr>
        <w:t>Не выявлено клинически значимого фармакокинетического взаимодействия при одновременном приеме с антацидами, циметидином и дигоксином</w:t>
      </w:r>
      <w:r w:rsidR="00F00713" w:rsidRPr="001D42F3">
        <w:rPr>
          <w:rFonts w:ascii="Times New Roman" w:hAnsi="Times New Roman"/>
          <w:szCs w:val="24"/>
          <w:lang w:val="ru-RU"/>
        </w:rPr>
        <w:t>.</w:t>
      </w:r>
    </w:p>
    <w:p w14:paraId="2727DADD" w14:textId="77777777" w:rsidR="00F00713" w:rsidRPr="001D42F3" w:rsidRDefault="00F00713" w:rsidP="0095696B">
      <w:pPr>
        <w:widowControl/>
        <w:jc w:val="both"/>
        <w:rPr>
          <w:i/>
          <w:sz w:val="24"/>
          <w:lang w:val="ru-RU"/>
        </w:rPr>
      </w:pPr>
    </w:p>
    <w:p w14:paraId="3F041BBD" w14:textId="77777777" w:rsidR="00F00713" w:rsidRPr="001D42F3" w:rsidRDefault="00F00713" w:rsidP="0095696B">
      <w:pPr>
        <w:pStyle w:val="3"/>
        <w:widowControl/>
        <w:jc w:val="both"/>
        <w:rPr>
          <w:rFonts w:eastAsia="Times New Roman"/>
          <w:szCs w:val="24"/>
          <w:lang w:val="ru-RU"/>
        </w:rPr>
      </w:pPr>
      <w:r w:rsidRPr="001D42F3">
        <w:rPr>
          <w:rFonts w:eastAsia="Times New Roman"/>
          <w:i/>
          <w:szCs w:val="24"/>
          <w:lang w:val="ru-RU"/>
        </w:rPr>
        <w:t>Особенности применения.</w:t>
      </w:r>
    </w:p>
    <w:p w14:paraId="1BA8F821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Побочные реакции можно минимизировать путем применения наименьшей эффективной дозы в течение кратчайшей продолжительности лечения, необходимой для контроля симптомов (см. раздел «Способ применения и дозы» и информацию о желудочно-кишечных и сердечно-сосудистых рисках ниже).</w:t>
      </w:r>
    </w:p>
    <w:p w14:paraId="3C43D4FE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Рекомендованную максимальную суточную дозу нельзя превышать в случае недостаточного терапевтического эффекта, также не следует применять дополнительно НПВП, так как это может повысить токсичность, тогда как терапевтические преимущества не доказаны. Следует избегать одновременного применения мелоксикама с НПВП, включая селективные ингибиторы циклооксигеназы-2.</w:t>
      </w:r>
    </w:p>
    <w:p w14:paraId="114EE74C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Мелоксикам не подходит для лечения пациентов, нуждающихся в облегчении острой боли.</w:t>
      </w:r>
    </w:p>
    <w:p w14:paraId="1B0C0BFA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В случае отсутствия улучшения после нескольких дней клинические преимущества лечения следует повторно оценить.</w:t>
      </w:r>
    </w:p>
    <w:p w14:paraId="38344698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Следует обратить внимание на эзофагит, гастрит и/или пептическую язву в анамнезе с целью обеспечения их полного излечения перед началом терапии мелоксикамом. Следует регулярно проявлять внимание к возможному проявлению рецидива у пациентов, лечившихся мелоксикамом, и пациентов с такими случаями в анамнезе.</w:t>
      </w:r>
    </w:p>
    <w:p w14:paraId="488507B7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Желудочно-кишечные нарушения.</w:t>
      </w:r>
    </w:p>
    <w:p w14:paraId="3285D0CC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Как и при применении других НПВП, потенциально летальные желудочно-кишечное кровотечение, язва или перфорация могут возникнуть в любое время в процессе лечения при наличии или без предварительных симптомов, или серьезных желудочно-кишечных заболеваний в анамнезе.</w:t>
      </w:r>
    </w:p>
    <w:p w14:paraId="52A7E95E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Риск желудочно-кишечного кровотечения, язвы или перфорации больше при повышении дозы НПВП у пациентов с язвой в анамнезе, особенно осложненной кровотечением или перфорацией (см. раздел «Противопоказания»), и у пациентов пожилого возраста. Таким пациентам следует начинать лечение с наименьшей эффективной дозы. Для таких пациентов, а также для пациентов, нуждающихся в совместном применении низкой дозы аспирина или других лекарственных средств, повышающих желудочно-кишечные риски (см. информацию, приведенную ниже, и раздел «Взаимодействие с другими лекарственными средствами и другие виды взаимодействий»), следует рассмотреть комбинированную терапию с защитными лекарственными средствами (такими как мисопростол или ингибиторы протонной помпы).</w:t>
      </w:r>
    </w:p>
    <w:p w14:paraId="0EB08B06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Пациентам с желудочно-кишечной токсичностью в анамнезе, особенно пожилого возраста, следует сообщать обо всех необычных абдоминальных симптомах (особенно желудочно-кишечные кровотечения), главным образом на начальных этапах лечения.</w:t>
      </w:r>
    </w:p>
    <w:p w14:paraId="25D230C9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Пациентам, которые одновременно применяют лекарственные средства, которые могут повысить риск язвы или кровотечения, в частности гепарин как радикальную терапию или в гериатрической практике, антикоагулянты, такие как варфарин или другие нестероидные противовоспалительные лекарственные средства, включая ацетилсалициловую кислоту в дозах ≥ 500 мг за один прием или ≥ 3 г общей суточной дозы, применение мелоксикама не рекомендуется (см. раздел «Взаимодействие с другими лекарственными средствами и другие виды взаимодействий»).</w:t>
      </w:r>
    </w:p>
    <w:p w14:paraId="0BA64D10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При возникновении желудочно-кишечного кровотечения или язвы у пациентов, применяющих мелоксикам, лечение следует отменить.</w:t>
      </w:r>
    </w:p>
    <w:p w14:paraId="05E72194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НПВП следует с осторожностью применять пациентам с желудочно-кишечными заболеваниями в анамнезе (язвенный колит, болезнь Крона), поскольку эти состояния могут обостряться (см. раздел «Побочные реакции»).</w:t>
      </w:r>
    </w:p>
    <w:p w14:paraId="0EFFD82D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Нарушения со стороны печени.</w:t>
      </w:r>
    </w:p>
    <w:p w14:paraId="0814ECAD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До 15 % пациентов, принимающих НПВП (включая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Pr="006658C9">
        <w:rPr>
          <w:sz w:val="24"/>
          <w:szCs w:val="24"/>
          <w:lang w:val="ru-RU"/>
        </w:rPr>
        <w:t>), могут иметь повышение значений одного или более печеночных тестов. Такие лабораторные отклонения могут прогрессировать, могут оставаться неизменными или могут быть временными при продолжении лечения. Заметные повышение АЛТ или АСТ (примерно в три и более раз выше нормы) наблюдались у 1 % пациентов во время клинических испытаний с НПВП. Дополнительно сообщали о редких случаях тяжелой печеночной реакции, включая желтуху и молниеносный летальный гепатит, некроз печени и печеночную недостаточность, некоторые из них с летальным исходом.</w:t>
      </w:r>
    </w:p>
    <w:p w14:paraId="25C85069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Пациентов с симптомами или подозрением на печеночную дисфункцию или у которых наблюдались отклонения печеночных тестов, нужно оценить относительно симптомов более тяжелой печеночной недостаточности в течение терапии препаратом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Pr="006658C9">
        <w:rPr>
          <w:sz w:val="24"/>
          <w:szCs w:val="24"/>
          <w:lang w:val="ru-RU"/>
        </w:rPr>
        <w:t>. Если клинические признаки и симптомы сопоставляются с развитием печеночных заболеваний или если наблюдаются системные проявления заболевания (например эозинофилия, сыпь и другие), применение препарата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="001811AC"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следует прекратить.</w:t>
      </w:r>
    </w:p>
    <w:p w14:paraId="10C1A264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Сердечно-сосудистые нарушения.</w:t>
      </w:r>
    </w:p>
    <w:p w14:paraId="6F7F8C6C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За пациентами с артериальной гипертензией и/или с застойной сердечной недостаточностью от легкой до умеренной степени в анамнезе рекомендуется тщательное наблюдение, поскольку при терапии НПВП наблюдались задержка жидкости и отек.</w:t>
      </w:r>
    </w:p>
    <w:p w14:paraId="0B3B10FC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Для пациентов с факторами риска рекомендуется клиническое наблюдение за артериальным давлением в начале терапии, особенно в начале курса лечения мелоксикамом.</w:t>
      </w:r>
    </w:p>
    <w:p w14:paraId="74074FDC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Данные исследований и эпидемиологические данные позволяют предположить, что применение некоторых НПВП (особенно в высоких дозах и при длительном лечении) может быть связано с небольшим повышением риска сосудистых тромботических явлений (например инфаркта миокарда или инсульта). Недостаточно данных для исключения такого риска для мелоксикама.</w:t>
      </w:r>
    </w:p>
    <w:p w14:paraId="578FB397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Пациентам с неконтролируемой артериальной гипертензией, застойной сердечной недостаточностью, установленной ишемической болезнью сердца, периферическим артериальным заболеванием и/или цереброваскулярным заболеванием следует проводить терапию мелоксикамом только после тщательного анализа. Подобный анализ необходим до начала длительного лечения пациентов с факторами риска сердечно-сосудистых заболеваний (таких как артериальная гипертензия, гиперлипидемия, сахарный диабет, курение).</w:t>
      </w:r>
    </w:p>
    <w:p w14:paraId="3EE98DAF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НПВП могут увеличить риск серьезных сердечно-сосудистых тромботических осложнений, инфаркта миокарда и инсульта, которые могут иметь летальный исход. Увеличение риска связано с длительностью применения. Пациенты с сердечно-сосудистыми заболеваниями или факторами риска сердечно-сосудистых заболеваний могут иметь повышенный риск.</w:t>
      </w:r>
    </w:p>
    <w:p w14:paraId="20ED46A5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Нарушения со стороны кожи.</w:t>
      </w:r>
    </w:p>
    <w:p w14:paraId="49BBFA23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Сообщали об опасных для жизни тяжелых поражениях кожи: синдром Стивенса–Джонсона и токсический эпидермальный некролиз при применении мелоксикама. Пациенты должны быть проинформированы о признаках и симптомах тяжелых поражений и внимательно следить за реакциями кожи. Наибольший риск возникновения синдрома Стивенса–Джонсона или токсического эпидермального некролиза существует в течение первых недель лечения. Если у пациента присутствуют симптомы или признаки синдрома Стивенса–Джонсона или токсического эпидермального некролиза (например, кожная сыпь, прогрессирующая часто с пузырьками или поражением слизистой оболочки), нужно прекратить лечение мелоксикамом. Важно как можно быстрее диагностировать и прекратить применение любых препаратов, которые могут вызвать тяжелые поражения кожи: синдром Стивенса–Джонсона или токсический эпидермальный некролиз. С этим связан лучший прогноз при тяжелых поражениях кожи. Если у пациента обнаружили синдром Стивенса–Джонсона или токсический эпидермальный некролиз при использовании мелоксикама, применение препарата нельзя возобновлять в любое время в будущем.</w:t>
      </w:r>
    </w:p>
    <w:p w14:paraId="4B77F485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Анафилактические реакции.</w:t>
      </w:r>
    </w:p>
    <w:p w14:paraId="53EC6A0E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Как и при применении других НПВП, анафилактические реакции могут наблюдаться у пациентов без известной реакции на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Pr="006658C9">
        <w:rPr>
          <w:sz w:val="24"/>
          <w:szCs w:val="24"/>
          <w:lang w:val="ru-RU"/>
        </w:rPr>
        <w:t>.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Pr="00435B2D">
        <w:rPr>
          <w:sz w:val="24"/>
          <w:szCs w:val="24"/>
        </w:rPr>
        <w:t> </w:t>
      </w:r>
      <w:r w:rsidRPr="006658C9">
        <w:rPr>
          <w:sz w:val="24"/>
          <w:szCs w:val="24"/>
          <w:lang w:val="ru-RU"/>
        </w:rPr>
        <w:t>не следует применять пациентам с аспириновой триадой. Данный симптоматический комплекс возникает у пациентов с астмой, у которых сообщалось о ринитах с или без назальных полипов, или у которых проявлялся тяжелый, потенциально летальный бронхоспазм после применения аспирина или других НПВП. Следует принять меры неотложной помощи при выявлении анафилактоидной реакции.</w:t>
      </w:r>
    </w:p>
    <w:p w14:paraId="2FAD8FD3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Параметры печени и функция почек.</w:t>
      </w:r>
    </w:p>
    <w:p w14:paraId="30736B58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Как и при лечении большинством НПВП, описаны единичные случаи повышения уровня трансаминаз в сыворотке крови, повышение уровня билирубина в сыворотке крови или других параметров функции печени, как и повышение креатинина в сыворотке крови и азота мочевины крови, и другие отклонения лабораторных показателей. В большинстве случаев эти отклонения были незначительны и носили временный характер. При значительном или устойчивом подтверждении таких отклонений применение мелоксикама следует прекратить и провести контрольные тесты.</w:t>
      </w:r>
    </w:p>
    <w:p w14:paraId="56E9D2B4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Функциональная почечная недостаточность.</w:t>
      </w:r>
    </w:p>
    <w:p w14:paraId="63452505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НПВП путем угнетения сосудорасширяющего влияния почечных простагландинов могут индуцировать функциональную почечную недостаточность вследствие снижения клубочковой фильтрации. Этот побочный эффект является дозозависимым. В начале лечения или после увеличения дозы рекомендуется тщательное наблюдение диуреза и почечной функции у пациентов с такими факторами риска:</w:t>
      </w:r>
    </w:p>
    <w:p w14:paraId="6EAA24A7" w14:textId="77777777" w:rsidR="00435B2D" w:rsidRPr="00435B2D" w:rsidRDefault="00435B2D" w:rsidP="00435B2D">
      <w:pPr>
        <w:numPr>
          <w:ilvl w:val="0"/>
          <w:numId w:val="6"/>
        </w:numPr>
        <w:jc w:val="both"/>
        <w:rPr>
          <w:sz w:val="24"/>
          <w:szCs w:val="24"/>
        </w:rPr>
      </w:pPr>
      <w:r w:rsidRPr="00435B2D">
        <w:rPr>
          <w:sz w:val="24"/>
          <w:szCs w:val="24"/>
        </w:rPr>
        <w:t>пожилой возраст;</w:t>
      </w:r>
    </w:p>
    <w:p w14:paraId="104D13D5" w14:textId="77777777" w:rsidR="00435B2D" w:rsidRPr="006658C9" w:rsidRDefault="00435B2D" w:rsidP="00435B2D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 xml:space="preserve">сопутствующее применение с ингибиторами АПФ, антагонистами ангиотензина </w:t>
      </w:r>
      <w:r w:rsidRPr="00435B2D">
        <w:rPr>
          <w:sz w:val="24"/>
          <w:szCs w:val="24"/>
        </w:rPr>
        <w:t>II</w:t>
      </w:r>
      <w:r w:rsidRPr="006658C9">
        <w:rPr>
          <w:sz w:val="24"/>
          <w:szCs w:val="24"/>
          <w:lang w:val="ru-RU"/>
        </w:rPr>
        <w:t>, сартанами, диуретиками (см. раздел «Взаимодействие с другими лекарственными средствами и другие виды взаимодействий»);</w:t>
      </w:r>
    </w:p>
    <w:p w14:paraId="77FE7AE9" w14:textId="77777777" w:rsidR="00435B2D" w:rsidRPr="00435B2D" w:rsidRDefault="00435B2D" w:rsidP="00435B2D">
      <w:pPr>
        <w:numPr>
          <w:ilvl w:val="0"/>
          <w:numId w:val="6"/>
        </w:numPr>
        <w:jc w:val="both"/>
        <w:rPr>
          <w:sz w:val="24"/>
          <w:szCs w:val="24"/>
        </w:rPr>
      </w:pPr>
      <w:r w:rsidRPr="00435B2D">
        <w:rPr>
          <w:sz w:val="24"/>
          <w:szCs w:val="24"/>
        </w:rPr>
        <w:t>гиповолемия (любого генеза);</w:t>
      </w:r>
    </w:p>
    <w:p w14:paraId="78BE471C" w14:textId="77777777" w:rsidR="00435B2D" w:rsidRPr="00435B2D" w:rsidRDefault="00435B2D" w:rsidP="00435B2D">
      <w:pPr>
        <w:numPr>
          <w:ilvl w:val="0"/>
          <w:numId w:val="6"/>
        </w:numPr>
        <w:jc w:val="both"/>
        <w:rPr>
          <w:sz w:val="24"/>
          <w:szCs w:val="24"/>
        </w:rPr>
      </w:pPr>
      <w:r w:rsidRPr="00435B2D">
        <w:rPr>
          <w:sz w:val="24"/>
          <w:szCs w:val="24"/>
        </w:rPr>
        <w:t>застойная сердечная недостаточность;</w:t>
      </w:r>
    </w:p>
    <w:p w14:paraId="36BAF0CA" w14:textId="77777777" w:rsidR="00435B2D" w:rsidRPr="00435B2D" w:rsidRDefault="00435B2D" w:rsidP="00435B2D">
      <w:pPr>
        <w:numPr>
          <w:ilvl w:val="0"/>
          <w:numId w:val="6"/>
        </w:numPr>
        <w:jc w:val="both"/>
        <w:rPr>
          <w:sz w:val="24"/>
          <w:szCs w:val="24"/>
        </w:rPr>
      </w:pPr>
      <w:r w:rsidRPr="00435B2D">
        <w:rPr>
          <w:sz w:val="24"/>
          <w:szCs w:val="24"/>
        </w:rPr>
        <w:t>почечная недостаточность;</w:t>
      </w:r>
    </w:p>
    <w:p w14:paraId="3CB43359" w14:textId="77777777" w:rsidR="00435B2D" w:rsidRPr="00435B2D" w:rsidRDefault="00435B2D" w:rsidP="00435B2D">
      <w:pPr>
        <w:numPr>
          <w:ilvl w:val="0"/>
          <w:numId w:val="6"/>
        </w:numPr>
        <w:jc w:val="both"/>
        <w:rPr>
          <w:sz w:val="24"/>
          <w:szCs w:val="24"/>
        </w:rPr>
      </w:pPr>
      <w:r w:rsidRPr="00435B2D">
        <w:rPr>
          <w:sz w:val="24"/>
          <w:szCs w:val="24"/>
        </w:rPr>
        <w:t>нефротический синдром;</w:t>
      </w:r>
    </w:p>
    <w:p w14:paraId="6822BF7C" w14:textId="77777777" w:rsidR="00435B2D" w:rsidRPr="00435B2D" w:rsidRDefault="00435B2D" w:rsidP="00435B2D">
      <w:pPr>
        <w:numPr>
          <w:ilvl w:val="0"/>
          <w:numId w:val="6"/>
        </w:numPr>
        <w:jc w:val="both"/>
        <w:rPr>
          <w:sz w:val="24"/>
          <w:szCs w:val="24"/>
        </w:rPr>
      </w:pPr>
      <w:r w:rsidRPr="00435B2D">
        <w:rPr>
          <w:sz w:val="24"/>
          <w:szCs w:val="24"/>
        </w:rPr>
        <w:t>люпус нефропатия;</w:t>
      </w:r>
    </w:p>
    <w:p w14:paraId="1818F64E" w14:textId="77777777" w:rsidR="00435B2D" w:rsidRPr="006658C9" w:rsidRDefault="00435B2D" w:rsidP="00435B2D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тяжелая степень печеночной дисфункции (сывороточный альбумин &lt; 25 г/л или ≥ 10 по классификации Чайлда–Пью).</w:t>
      </w:r>
    </w:p>
    <w:p w14:paraId="10ADC44A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В единичных случаях НПВП могут приводить к интерстициальным нефритам, гломерулонефритам, ренальным медуллярным некрозам или нефротическим синдромам.</w:t>
      </w:r>
    </w:p>
    <w:p w14:paraId="754FF5F7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Доза мелоксикама для пациентов с терминальной почечной недостаточностью, находящихся на диализе, не должна превышать 7,5 мг. Пациентам с почечной недостаточностью от легкой до умеренной степени дозу можно не снижать (уровень клиренса креатинина более 25 мл/мин).</w:t>
      </w:r>
    </w:p>
    <w:p w14:paraId="179BEF95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Задержка натрия, калия и воды.</w:t>
      </w:r>
    </w:p>
    <w:p w14:paraId="5442DB81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НПВП могут усилить задержку натрия, калия и воды и повлиять на натрийуретические эффекты диуретиков. Кроме того, может наблюдаться снижение антигипертензивного эффекта гипотензивных лекарственных средств (см. раздел «Взаимодействие с другими лекарственными средствами и другие виды взаимодействий»). Потому как результат у чувствительных пациентов могут провоцироваться или обостряться отек, сердечная недостаточность или артериальная гипертензия. Поэтому пациентам с такими рисками рекомендуется проведение клинического мониторинга (см. разделы «Способ применения и дозы» и «Противопоказания»).</w:t>
      </w:r>
    </w:p>
    <w:p w14:paraId="23EBBC6E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Гиперкалиемия.</w:t>
      </w:r>
    </w:p>
    <w:p w14:paraId="25A89643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Гиперкалиемии может способствовать сахарный диабет или одновременное применение лекарственных средств, повышающих калиемию (см. раздел «Взаимодействие с другими лекарственными средствами и другие виды взаимодействий»). В таких случаях нужно регулярно проводить контроль уровней калия.</w:t>
      </w:r>
    </w:p>
    <w:p w14:paraId="4F995B0F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Комбинация с пеметрекседом</w:t>
      </w:r>
    </w:p>
    <w:p w14:paraId="49473CAB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У пациентов с легкой и умеренной почечной недостаточностью, получающих пеметрексед, лечение мелоксикамом нужно приостановить по крайней мере на 5 дней до введения пеметрекседа, в день введения и минимум на 2 дня после введения (см. раздел «Взаимодействие с другими лекарственными средствами и другие виды взаимодействий»).</w:t>
      </w:r>
    </w:p>
    <w:p w14:paraId="4CEF4D61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Другие предупреждения и меры безопасности.</w:t>
      </w:r>
    </w:p>
    <w:p w14:paraId="1378533D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Побочные реакции часто хуже переносят пациенты пожилого возраста, слабые или ослабленные больные, нуждающиеся в тщательном наблюдении. Как и при лечении другими НПВП, нужно быть осторожными в отношении больных пожилого возраста, у которых более вероятно снижение функции почек, печени и сердца. Пациенты пожилого возраста имеют более высокую частоту возникновения побочных реакций к НПВП, особенно желудочно-кишечных кровотечений и перфораций, которые могут быть летальными (см. раздел «Способ применения и дозы»).</w:t>
      </w:r>
    </w:p>
    <w:p w14:paraId="0A1E0C34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Мелоксикам, как и любой другой НПВП, может маскировать симптомы инфекционных заболеваний.</w:t>
      </w:r>
    </w:p>
    <w:p w14:paraId="3DC6CD7B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Применение мелоксикама может негативно влиять на репродуктивную функцию и не рекомендован женщинам, которые хотят забеременеть. Поэтому для женщин, планирующих беременность или проходящих обследование по поводу бесплодия, следует рассмотреть возможность прекращения приема мелоксикама (см. раздел «Применение в период беременности или кормления грудью»).</w:t>
      </w:r>
    </w:p>
    <w:p w14:paraId="0EC5B011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В состав таблеток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="001811AC"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по 7,5 мг и 15 мг входит лактоза, поэтому этот препарат не рекомендуется принимать пациентам с редкой врожденной непереносимостью галактозы, с дефицитом лактазы или нарушением всасывания глюкозы или галактозы.</w:t>
      </w:r>
    </w:p>
    <w:p w14:paraId="5100417C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Маскировка воспаления и лихорадки.</w:t>
      </w:r>
    </w:p>
    <w:p w14:paraId="11DD0C90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Фармакологическое действие препарата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="001811AC"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по уменьшению лихорадки и воспаления может осложнить диагностику при подозреваемом неинфекционном болевом состоянии.</w:t>
      </w:r>
    </w:p>
    <w:p w14:paraId="6837B3F8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Лечение кортикостероидами.</w:t>
      </w:r>
    </w:p>
    <w:p w14:paraId="3C00321F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="001811AC">
        <w:rPr>
          <w:sz w:val="24"/>
          <w:szCs w:val="24"/>
          <w:vertAlign w:val="superscript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не может быть вероятным заместителем кортикостероидов при лечении кортикостероидной недостаточности.</w:t>
      </w:r>
    </w:p>
    <w:p w14:paraId="6E8FA0DB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Гематологические эффекты.</w:t>
      </w:r>
    </w:p>
    <w:p w14:paraId="171AEA59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Анемия может наблюдаться у пациентов, получающих НПВП, включая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Pr="006658C9">
        <w:rPr>
          <w:sz w:val="24"/>
          <w:szCs w:val="24"/>
          <w:lang w:val="ru-RU"/>
        </w:rPr>
        <w:t>. Это может быть связано с задержкой жидкости, скрытым или массивным желудочно-кишечным кровотечением, или не полностью описанным влиянием на эритропоэз. Пациентам при длительном лечении НПВП, включая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Pr="006658C9">
        <w:rPr>
          <w:sz w:val="24"/>
          <w:szCs w:val="24"/>
          <w:lang w:val="ru-RU"/>
        </w:rPr>
        <w:t>, следует контролировать гемоглобин или гемокрит, если имеются симптомы и признаки анемии.</w:t>
      </w:r>
    </w:p>
    <w:p w14:paraId="7E9D0450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НПВП тормозят агрегацию тромбоцитов и могут продлить время кровотечения у некоторых пациентов. В отличие от аспирина, их влияние на функцию тромбоцитов количественно меньше, кратковременное и обратимое. Следует тщательно контролировать состояние пациентов, принимающих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="001811AC">
        <w:rPr>
          <w:sz w:val="24"/>
          <w:szCs w:val="24"/>
          <w:vertAlign w:val="superscript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и у которых возможны побочные воздействия относительно изменений функции тромбоцитов, в частности расстройства свертываемости крови, или пациентов, получающих антикоагулянты.</w:t>
      </w:r>
    </w:p>
    <w:p w14:paraId="68BB62CD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Применение пациентам с имеющейся астмой.</w:t>
      </w:r>
    </w:p>
    <w:p w14:paraId="77CA487B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Пациенты с астмой могут иметь аспирин-чувствительную астму. Применение аспирина у пациентов с аспирин-чувствительной астмой ассоциировано с тяжелым бронхоспазмом, который может быть летальным. Учитывая перекрестную реакцию, включая бронхоспазм, между аспирином и другими НПВП, 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="001811AC"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не следует применять пациентам, чувствительным к аспирину, и следует осторожно назначать пациентам с имеющейся астмой.</w:t>
      </w:r>
    </w:p>
    <w:p w14:paraId="264B9A1C" w14:textId="77777777" w:rsidR="001811AC" w:rsidRPr="006658C9" w:rsidRDefault="001811AC" w:rsidP="00435B2D">
      <w:pPr>
        <w:jc w:val="both"/>
        <w:rPr>
          <w:sz w:val="24"/>
          <w:szCs w:val="24"/>
          <w:lang w:val="ru-RU"/>
        </w:rPr>
      </w:pPr>
    </w:p>
    <w:p w14:paraId="3D63EEBA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Применение в период беременности или кормления грудью.</w:t>
      </w:r>
    </w:p>
    <w:p w14:paraId="3DCA2525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Беременность.</w:t>
      </w:r>
      <w:r w:rsidR="001811AC"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Подавление синтеза простагландинов может негативно влиять на беременность и/или развитие эмбриона и плода. Данные эпидемиологических исследований позволяют предположить увеличение риска выкидыша и развития пороков сердца и гастрошизисов после применения ингибиторов синтеза простагландинов в ранний период беременности. Абсолютный риск развития пороков сердца увеличился с менее чем 1 % до приблизительно 1,5 %. Считается, что этот риск увеличивается с увеличением дозы и продолжительности лечения.</w:t>
      </w:r>
    </w:p>
    <w:p w14:paraId="0EFFD28A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 xml:space="preserve">Во время </w:t>
      </w:r>
      <w:r w:rsidRPr="00435B2D">
        <w:rPr>
          <w:sz w:val="24"/>
          <w:szCs w:val="24"/>
        </w:rPr>
        <w:t>I</w:t>
      </w:r>
      <w:r w:rsidRPr="006658C9">
        <w:rPr>
          <w:sz w:val="24"/>
          <w:szCs w:val="24"/>
          <w:lang w:val="ru-RU"/>
        </w:rPr>
        <w:t xml:space="preserve"> и </w:t>
      </w:r>
      <w:r w:rsidRPr="00435B2D">
        <w:rPr>
          <w:sz w:val="24"/>
          <w:szCs w:val="24"/>
        </w:rPr>
        <w:t>II</w:t>
      </w:r>
      <w:r w:rsidRPr="006658C9">
        <w:rPr>
          <w:sz w:val="24"/>
          <w:szCs w:val="24"/>
          <w:lang w:val="ru-RU"/>
        </w:rPr>
        <w:t xml:space="preserve"> триместра беременности мелоксикам не следует применять, за исключением крайней необходимости. Если женщина пытается забеременеть или в период </w:t>
      </w:r>
      <w:r w:rsidRPr="00435B2D">
        <w:rPr>
          <w:sz w:val="24"/>
          <w:szCs w:val="24"/>
        </w:rPr>
        <w:t>I</w:t>
      </w:r>
      <w:r w:rsidRPr="006658C9">
        <w:rPr>
          <w:sz w:val="24"/>
          <w:szCs w:val="24"/>
          <w:lang w:val="ru-RU"/>
        </w:rPr>
        <w:t xml:space="preserve"> и </w:t>
      </w:r>
      <w:r w:rsidRPr="00435B2D">
        <w:rPr>
          <w:sz w:val="24"/>
          <w:szCs w:val="24"/>
        </w:rPr>
        <w:t>II</w:t>
      </w:r>
      <w:r w:rsidRPr="006658C9">
        <w:rPr>
          <w:sz w:val="24"/>
          <w:szCs w:val="24"/>
          <w:lang w:val="ru-RU"/>
        </w:rPr>
        <w:t xml:space="preserve"> триместра беременности применяет мелоксикам, дозировка и продолжительность лечения должны быть наименьшими.</w:t>
      </w:r>
    </w:p>
    <w:p w14:paraId="073CA04C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 xml:space="preserve">В ходе </w:t>
      </w:r>
      <w:r w:rsidRPr="00435B2D">
        <w:rPr>
          <w:sz w:val="24"/>
          <w:szCs w:val="24"/>
        </w:rPr>
        <w:t>III</w:t>
      </w:r>
      <w:r w:rsidRPr="006658C9">
        <w:rPr>
          <w:sz w:val="24"/>
          <w:szCs w:val="24"/>
          <w:lang w:val="ru-RU"/>
        </w:rPr>
        <w:t xml:space="preserve"> триместра беременности все ингибиторы синтеза простагландинов могут создавать для плода риск:</w:t>
      </w:r>
    </w:p>
    <w:p w14:paraId="3BDE44DF" w14:textId="77777777" w:rsidR="00435B2D" w:rsidRPr="006658C9" w:rsidRDefault="00435B2D" w:rsidP="00435B2D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сердечно-легочной токсичности (с преждевременным закрытием артериального протока и легочной гипертензией);</w:t>
      </w:r>
    </w:p>
    <w:p w14:paraId="590500DE" w14:textId="77777777" w:rsidR="00435B2D" w:rsidRPr="006658C9" w:rsidRDefault="00435B2D" w:rsidP="00435B2D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нарушения функции почек, которое может развиться в почечную недостаточность с олигогидроамнионом.</w:t>
      </w:r>
    </w:p>
    <w:p w14:paraId="2FFF2708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Возможные риски в последние сроки беременности для матери и новорожденного:</w:t>
      </w:r>
    </w:p>
    <w:p w14:paraId="6A892456" w14:textId="77777777" w:rsidR="00435B2D" w:rsidRPr="006658C9" w:rsidRDefault="00435B2D" w:rsidP="00435B2D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возможность продления времени кровотечения, противоагрегационного эффекта даже при очень низких дозах;</w:t>
      </w:r>
    </w:p>
    <w:p w14:paraId="2A43ED8E" w14:textId="77777777" w:rsidR="00435B2D" w:rsidRPr="006658C9" w:rsidRDefault="00435B2D" w:rsidP="00435B2D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угнетение сокращений матки, что приводит к задержке или затягиванию родов.</w:t>
      </w:r>
    </w:p>
    <w:p w14:paraId="0AFD3329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 xml:space="preserve">Поэтому мелоксикам противопоказан во время </w:t>
      </w:r>
      <w:r w:rsidRPr="00435B2D">
        <w:rPr>
          <w:sz w:val="24"/>
          <w:szCs w:val="24"/>
        </w:rPr>
        <w:t>III</w:t>
      </w:r>
      <w:r w:rsidRPr="006658C9">
        <w:rPr>
          <w:sz w:val="24"/>
          <w:szCs w:val="24"/>
          <w:lang w:val="ru-RU"/>
        </w:rPr>
        <w:t xml:space="preserve"> триместра беременности.</w:t>
      </w:r>
    </w:p>
    <w:p w14:paraId="2EA065D1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Кормление грудью</w:t>
      </w:r>
      <w:r w:rsidRPr="006658C9">
        <w:rPr>
          <w:sz w:val="24"/>
          <w:szCs w:val="24"/>
          <w:lang w:val="ru-RU"/>
        </w:rPr>
        <w:t>. Хотя конкретных данных по Ревмоксикаму</w:t>
      </w:r>
      <w:r w:rsidRPr="006658C9">
        <w:rPr>
          <w:sz w:val="24"/>
          <w:szCs w:val="24"/>
          <w:vertAlign w:val="superscript"/>
          <w:lang w:val="ru-RU"/>
        </w:rPr>
        <w:t>®</w:t>
      </w:r>
      <w:r w:rsidR="001811AC"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нет, о НПВП известно, что они могут проникать в грудное молоко. Поэтому применение не рекомендуется женщинам, которые кормят грудью.</w:t>
      </w:r>
    </w:p>
    <w:p w14:paraId="5A6EC60F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Фертильность.</w:t>
      </w:r>
      <w:r w:rsidR="001811AC"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Мелоксикам, как и другие лекарственные средства, ингибирующие синтез циклооксигеназы/простагландина, может негативно влиять на репродуктивную функцию и не рекомендован женщинам, которые хотят забеременеть. Поэтому для женщин, которые планируют беременность или проходят обследование по поводу бесплодия, следует рассмотреть возможность отмены мелоксикама.</w:t>
      </w:r>
    </w:p>
    <w:p w14:paraId="66B1240F" w14:textId="77777777" w:rsidR="001811AC" w:rsidRPr="006658C9" w:rsidRDefault="001811AC" w:rsidP="00435B2D">
      <w:pPr>
        <w:jc w:val="both"/>
        <w:rPr>
          <w:sz w:val="24"/>
          <w:szCs w:val="24"/>
          <w:lang w:val="ru-RU"/>
        </w:rPr>
      </w:pPr>
    </w:p>
    <w:p w14:paraId="34C141E5" w14:textId="77777777" w:rsidR="001811AC" w:rsidRPr="006658C9" w:rsidRDefault="001811AC" w:rsidP="00435B2D">
      <w:pPr>
        <w:jc w:val="both"/>
        <w:rPr>
          <w:sz w:val="24"/>
          <w:szCs w:val="24"/>
          <w:lang w:val="ru-RU"/>
        </w:rPr>
      </w:pPr>
    </w:p>
    <w:p w14:paraId="7509BDFD" w14:textId="77777777" w:rsidR="001811AC" w:rsidRPr="006658C9" w:rsidRDefault="001811AC" w:rsidP="00435B2D">
      <w:pPr>
        <w:jc w:val="both"/>
        <w:rPr>
          <w:sz w:val="24"/>
          <w:szCs w:val="24"/>
          <w:lang w:val="ru-RU"/>
        </w:rPr>
      </w:pPr>
    </w:p>
    <w:p w14:paraId="11CA7DE9" w14:textId="77777777" w:rsidR="00435B2D" w:rsidRPr="006658C9" w:rsidRDefault="00435B2D" w:rsidP="00435B2D">
      <w:pPr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Способность влиять на скорость реакции при управлении автотранспортом или другими механизмами.</w:t>
      </w:r>
    </w:p>
    <w:p w14:paraId="204D15CF" w14:textId="77777777" w:rsidR="00F00713" w:rsidRPr="006658C9" w:rsidRDefault="00435B2D" w:rsidP="0095696B">
      <w:pPr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Специальных исследований о влиянии препарата на способность управлять автомобилем или работать с другими механизмами нет. Однако на основе фармакодинамического профиля и побочных реакций, которые наблюдались, можно предположить, что мелоксикам склонен не влиять или иметь незначительное влияние на указанную деятельность. Однако пациентам, у которых наблюдались нарушения функции зрения, включая нечеткость зрения, головокружение, сонливость, вертиго или другие нарушения центральной нервной системы, рекомендуется воздержаться от управления автомобилем или работы с другими механизмами</w:t>
      </w:r>
      <w:r w:rsidR="00F00713" w:rsidRPr="001D42F3">
        <w:rPr>
          <w:sz w:val="24"/>
          <w:szCs w:val="24"/>
          <w:lang w:val="ru-RU"/>
        </w:rPr>
        <w:t>.</w:t>
      </w:r>
    </w:p>
    <w:p w14:paraId="484A6896" w14:textId="77777777" w:rsidR="00F00713" w:rsidRPr="001D42F3" w:rsidRDefault="00F00713" w:rsidP="0095696B">
      <w:pPr>
        <w:widowControl/>
        <w:jc w:val="both"/>
        <w:rPr>
          <w:i/>
          <w:sz w:val="24"/>
          <w:lang w:val="ru-RU"/>
        </w:rPr>
      </w:pPr>
    </w:p>
    <w:p w14:paraId="699B19C8" w14:textId="77777777" w:rsidR="00F00713" w:rsidRPr="001D42F3" w:rsidRDefault="00F00713" w:rsidP="0095696B">
      <w:pPr>
        <w:widowControl/>
        <w:jc w:val="both"/>
        <w:rPr>
          <w:b/>
          <w:sz w:val="24"/>
          <w:lang w:val="ru-RU"/>
        </w:rPr>
      </w:pPr>
      <w:r w:rsidRPr="001D42F3">
        <w:rPr>
          <w:b/>
          <w:i/>
          <w:sz w:val="24"/>
          <w:lang w:val="ru-RU"/>
        </w:rPr>
        <w:t>Способ применения и дозы</w:t>
      </w:r>
      <w:r w:rsidRPr="001D42F3">
        <w:rPr>
          <w:b/>
          <w:sz w:val="24"/>
          <w:lang w:val="ru-RU"/>
        </w:rPr>
        <w:t>.</w:t>
      </w:r>
    </w:p>
    <w:p w14:paraId="7E38FEF2" w14:textId="77777777" w:rsidR="001811AC" w:rsidRPr="006658C9" w:rsidRDefault="001811AC" w:rsidP="001811AC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Применять перорально.</w:t>
      </w:r>
    </w:p>
    <w:p w14:paraId="6B997C54" w14:textId="77777777" w:rsidR="001811AC" w:rsidRPr="006658C9" w:rsidRDefault="001811AC" w:rsidP="001811AC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Общее суточное количество лекарственного средства следует применять разово, запивая водой или другой жидкостью, во время приема пищи.</w:t>
      </w:r>
    </w:p>
    <w:p w14:paraId="7A438A70" w14:textId="77777777" w:rsidR="001811AC" w:rsidRPr="006658C9" w:rsidRDefault="001811AC" w:rsidP="001811AC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Побочные реакции можно минимизировать путем применения наименьшей эффективной дозы в течение кратчайшей продолжительности лечения, необходимой для контроля симптомов (см. раздел «Особенности применения»). Следует периодически оценивать потребность пациента в симптоматическом облегчении и ответ на лечение.</w:t>
      </w:r>
    </w:p>
    <w:p w14:paraId="0C22E87F" w14:textId="77777777" w:rsidR="001811AC" w:rsidRPr="006658C9" w:rsidRDefault="001811AC" w:rsidP="001811AC">
      <w:pPr>
        <w:widowControl/>
        <w:jc w:val="both"/>
        <w:rPr>
          <w:sz w:val="24"/>
          <w:lang w:val="ru-RU"/>
        </w:rPr>
      </w:pPr>
      <w:r w:rsidRPr="006658C9">
        <w:rPr>
          <w:i/>
          <w:iCs/>
          <w:sz w:val="24"/>
          <w:lang w:val="ru-RU"/>
        </w:rPr>
        <w:t>Обострение остеоартроза:</w:t>
      </w:r>
    </w:p>
    <w:p w14:paraId="323E02B7" w14:textId="77777777" w:rsidR="001811AC" w:rsidRPr="006658C9" w:rsidRDefault="001811AC" w:rsidP="001811AC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7,5 мг/сут (1 таблетка 7,5 мг или половина таблетки 15 мг). Если необходимо, дозу можно увеличить до 15 мг/сут (1 таблетка 15 мг или 2 таблетки 7,5 мг).</w:t>
      </w:r>
    </w:p>
    <w:p w14:paraId="0FFAF143" w14:textId="77777777" w:rsidR="001811AC" w:rsidRPr="006658C9" w:rsidRDefault="001811AC" w:rsidP="001811AC">
      <w:pPr>
        <w:widowControl/>
        <w:jc w:val="both"/>
        <w:rPr>
          <w:sz w:val="24"/>
          <w:lang w:val="ru-RU"/>
        </w:rPr>
      </w:pPr>
      <w:r w:rsidRPr="006658C9">
        <w:rPr>
          <w:i/>
          <w:iCs/>
          <w:sz w:val="24"/>
          <w:lang w:val="ru-RU"/>
        </w:rPr>
        <w:t>Ревматоидный артрит, анкилозирующий спондилит:</w:t>
      </w:r>
    </w:p>
    <w:p w14:paraId="29065575" w14:textId="77777777" w:rsidR="001811AC" w:rsidRPr="006658C9" w:rsidRDefault="001811AC" w:rsidP="001811AC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15 мг/сут (1 таблетка 15 мг или 2 таблетки 7,5 мг).</w:t>
      </w:r>
    </w:p>
    <w:p w14:paraId="7309333B" w14:textId="77777777" w:rsidR="001811AC" w:rsidRPr="006658C9" w:rsidRDefault="001811AC" w:rsidP="001811AC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Также см. раздел «Особые категории пациентов» ниже.</w:t>
      </w:r>
    </w:p>
    <w:p w14:paraId="42FF5472" w14:textId="77777777" w:rsidR="00F00713" w:rsidRPr="006658C9" w:rsidRDefault="001811AC" w:rsidP="0095696B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Согласно терапевтическому эффекту дозу можно уменьшить до 7,5 мг/сут (1 таблетка 7,5 мг или половина таблетки 15 мг)</w:t>
      </w:r>
      <w:r w:rsidR="00F00713" w:rsidRPr="001D42F3">
        <w:rPr>
          <w:sz w:val="24"/>
          <w:lang w:val="ru-RU"/>
        </w:rPr>
        <w:t>.</w:t>
      </w:r>
    </w:p>
    <w:p w14:paraId="5857768C" w14:textId="77777777" w:rsidR="00F00713" w:rsidRPr="001D42F3" w:rsidRDefault="00F00713" w:rsidP="0095696B">
      <w:pPr>
        <w:widowControl/>
        <w:jc w:val="both"/>
        <w:rPr>
          <w:b/>
          <w:sz w:val="24"/>
          <w:lang w:val="ru-RU"/>
        </w:rPr>
      </w:pPr>
      <w:r w:rsidRPr="001D42F3">
        <w:rPr>
          <w:b/>
          <w:sz w:val="24"/>
          <w:lang w:val="ru-RU"/>
        </w:rPr>
        <w:t xml:space="preserve">НЕ </w:t>
      </w:r>
      <w:r w:rsidR="001811AC" w:rsidRPr="001D42F3">
        <w:rPr>
          <w:b/>
          <w:sz w:val="24"/>
          <w:lang w:val="ru-RU"/>
        </w:rPr>
        <w:t>ПРЕВЫШАТЬ ДОЗУ 15 МГ/СУТ.</w:t>
      </w:r>
    </w:p>
    <w:p w14:paraId="2E6BD099" w14:textId="77777777" w:rsidR="001811AC" w:rsidRPr="006658C9" w:rsidRDefault="001811AC" w:rsidP="001811AC">
      <w:pPr>
        <w:widowControl/>
        <w:jc w:val="both"/>
        <w:rPr>
          <w:i/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Особые категории пациентов.</w:t>
      </w:r>
    </w:p>
    <w:p w14:paraId="792E3B18" w14:textId="77777777" w:rsidR="001811AC" w:rsidRPr="006658C9" w:rsidRDefault="001811AC" w:rsidP="001811AC">
      <w:pPr>
        <w:widowControl/>
        <w:jc w:val="both"/>
        <w:rPr>
          <w:i/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Пациенты пожилого возраста и пациенты с повышенным риском развития побочных реакций.</w:t>
      </w:r>
    </w:p>
    <w:p w14:paraId="7D9E0CCA" w14:textId="77777777" w:rsidR="001811AC" w:rsidRPr="006658C9" w:rsidRDefault="001811AC" w:rsidP="001811AC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Рекомендуемая доза для длительного лечения ревматоидного артрита и анкилозирующего спондилита у пациентов пожилого возраста составляет 7,5 мг в сутки. Пациентам с повышенным риском развития побочных реакций следует начинать лечение с 7,5 мг в сутки (см. раздел «Особенности применения»).</w:t>
      </w:r>
    </w:p>
    <w:p w14:paraId="335D9200" w14:textId="77777777" w:rsidR="001811AC" w:rsidRPr="006658C9" w:rsidRDefault="001811AC" w:rsidP="001811AC">
      <w:pPr>
        <w:widowControl/>
        <w:jc w:val="both"/>
        <w:rPr>
          <w:i/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Почечная недостаточность.</w:t>
      </w:r>
    </w:p>
    <w:p w14:paraId="27B6E424" w14:textId="77777777" w:rsidR="001811AC" w:rsidRPr="006658C9" w:rsidRDefault="001811AC" w:rsidP="001811AC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Для пациентов с тяжелой почечной недостаточностью, находящихся на диализе, доза не должна превышать 7,5 мг в сутки. Пациентам с легкой и средней почечной недостаточностью (а именно</w:t>
      </w:r>
      <w:r w:rsidRPr="006C2851">
        <w:rPr>
          <w:sz w:val="24"/>
          <w:szCs w:val="24"/>
        </w:rPr>
        <w:t> </w:t>
      </w:r>
      <w:r w:rsidRPr="006658C9">
        <w:rPr>
          <w:sz w:val="24"/>
          <w:szCs w:val="24"/>
          <w:lang w:val="ru-RU"/>
        </w:rPr>
        <w:t xml:space="preserve"> пациентам с клиренсом креатинина выше 25 мл/мин) снижение дозы не требуется (относительно пациентов с тяжелой почечной недостаточностью без применения диализа см. раздел «Противопоказания»).</w:t>
      </w:r>
    </w:p>
    <w:p w14:paraId="2E5B0043" w14:textId="77777777" w:rsidR="001811AC" w:rsidRPr="006658C9" w:rsidRDefault="001811AC" w:rsidP="001811AC">
      <w:pPr>
        <w:widowControl/>
        <w:jc w:val="both"/>
        <w:rPr>
          <w:i/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Печеночная недостаточность.</w:t>
      </w:r>
    </w:p>
    <w:p w14:paraId="7425D33E" w14:textId="77777777" w:rsidR="001811AC" w:rsidRPr="006658C9" w:rsidRDefault="001811AC" w:rsidP="001811AC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Пациентам с легкой и средней печеночной недостаточностью снижение дозы не требуется (относительно пациентов с тяжелой печеночной недостаточностью см. раздел «Противопоказания»).</w:t>
      </w:r>
    </w:p>
    <w:p w14:paraId="6A25E79C" w14:textId="77777777" w:rsidR="006C2851" w:rsidRPr="006658C9" w:rsidRDefault="006C2851" w:rsidP="001811AC">
      <w:pPr>
        <w:widowControl/>
        <w:jc w:val="both"/>
        <w:rPr>
          <w:i/>
          <w:sz w:val="24"/>
          <w:szCs w:val="24"/>
          <w:lang w:val="ru-RU"/>
        </w:rPr>
      </w:pPr>
    </w:p>
    <w:p w14:paraId="4B332FB3" w14:textId="77777777" w:rsidR="001811AC" w:rsidRPr="006658C9" w:rsidRDefault="001811AC" w:rsidP="001811AC">
      <w:pPr>
        <w:widowControl/>
        <w:jc w:val="both"/>
        <w:rPr>
          <w:i/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Дети.</w:t>
      </w:r>
    </w:p>
    <w:p w14:paraId="05B9D2AD" w14:textId="77777777" w:rsidR="00F00713" w:rsidRPr="006658C9" w:rsidRDefault="001811AC" w:rsidP="0095696B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Ревмоксикам</w:t>
      </w:r>
      <w:r w:rsidRPr="006658C9">
        <w:rPr>
          <w:sz w:val="24"/>
          <w:szCs w:val="24"/>
          <w:vertAlign w:val="superscript"/>
          <w:lang w:val="ru-RU"/>
        </w:rPr>
        <w:t>®</w:t>
      </w:r>
      <w:r w:rsidRPr="006658C9">
        <w:rPr>
          <w:sz w:val="24"/>
          <w:szCs w:val="24"/>
          <w:lang w:val="ru-RU"/>
        </w:rPr>
        <w:t>, таблетки по 7,5 мг и 15 мг, противопоказан детям в возрасте до 16 лет (см. раздел «Противопоказания»)</w:t>
      </w:r>
      <w:r w:rsidR="00F00713" w:rsidRPr="006C2851">
        <w:rPr>
          <w:sz w:val="24"/>
          <w:szCs w:val="24"/>
          <w:lang w:val="ru-RU"/>
        </w:rPr>
        <w:t>.</w:t>
      </w:r>
    </w:p>
    <w:p w14:paraId="44D3F8DC" w14:textId="77777777" w:rsidR="00F00713" w:rsidRPr="001D42F3" w:rsidRDefault="00F00713" w:rsidP="0095696B">
      <w:pPr>
        <w:widowControl/>
        <w:jc w:val="both"/>
        <w:rPr>
          <w:i/>
          <w:sz w:val="24"/>
          <w:szCs w:val="24"/>
          <w:lang w:val="ru-RU"/>
        </w:rPr>
      </w:pPr>
    </w:p>
    <w:p w14:paraId="12FEEABD" w14:textId="77777777" w:rsidR="00F00713" w:rsidRPr="001D42F3" w:rsidRDefault="00F00713" w:rsidP="0095696B">
      <w:pPr>
        <w:widowControl/>
        <w:jc w:val="both"/>
        <w:rPr>
          <w:b/>
          <w:sz w:val="24"/>
          <w:szCs w:val="24"/>
          <w:lang w:val="ru-RU"/>
        </w:rPr>
      </w:pPr>
      <w:r w:rsidRPr="001D42F3">
        <w:rPr>
          <w:b/>
          <w:i/>
          <w:sz w:val="24"/>
          <w:szCs w:val="24"/>
          <w:lang w:val="ru-RU"/>
        </w:rPr>
        <w:t>Передозировка</w:t>
      </w:r>
      <w:r w:rsidRPr="001D42F3">
        <w:rPr>
          <w:b/>
          <w:sz w:val="24"/>
          <w:szCs w:val="24"/>
          <w:lang w:val="ru-RU"/>
        </w:rPr>
        <w:t>.</w:t>
      </w:r>
    </w:p>
    <w:p w14:paraId="58800DD4" w14:textId="77777777" w:rsidR="006C2851" w:rsidRPr="006658C9" w:rsidRDefault="006C2851" w:rsidP="006C2851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Симптомы острой передозировки НПВП обычно ограничиваются летаргией, сонливостью, тошнотой, рвотой и эпигастральной болью, которые в целом являются обратимыми при поддерживающей терапии. Может возникнуть желудочно-кишечное кровотечение. Тяжелое отравление может привести к артериальной гипертензии, острой почечной недостаточности, дисфункции печени, угнетению дыхания, коме, судорогам, сердечно-сосудистой недостаточности и остановке сердца. Сообщалось о анафилактоидных реакциях при терапевтическом применении НПВП, которые также могут наблюдаться при передозировке.</w:t>
      </w:r>
    </w:p>
    <w:p w14:paraId="439F6E8F" w14:textId="77777777" w:rsidR="00F00713" w:rsidRPr="006658C9" w:rsidRDefault="006C2851" w:rsidP="0095696B">
      <w:pPr>
        <w:widowControl/>
        <w:jc w:val="both"/>
        <w:rPr>
          <w:sz w:val="24"/>
          <w:lang w:val="ru-RU"/>
        </w:rPr>
      </w:pPr>
      <w:r w:rsidRPr="006658C9">
        <w:rPr>
          <w:sz w:val="24"/>
          <w:lang w:val="ru-RU"/>
        </w:rPr>
        <w:t>При передозировке НПВП пациентам рекомендуется симптоматические и поддерживающие мероприятия. Исследования показали ускорение выведения мелоксикама путем приема 4</w:t>
      </w:r>
      <w:r w:rsidRPr="006C2851">
        <w:rPr>
          <w:sz w:val="24"/>
        </w:rPr>
        <w:t> </w:t>
      </w:r>
      <w:r w:rsidRPr="006658C9">
        <w:rPr>
          <w:sz w:val="24"/>
          <w:lang w:val="ru-RU"/>
        </w:rPr>
        <w:t>пероральных доз холестирамина 3 раза в сутки</w:t>
      </w:r>
      <w:r w:rsidR="00F00713" w:rsidRPr="001D42F3">
        <w:rPr>
          <w:sz w:val="24"/>
          <w:lang w:val="ru-RU"/>
        </w:rPr>
        <w:t>.</w:t>
      </w:r>
    </w:p>
    <w:p w14:paraId="5661370B" w14:textId="77777777" w:rsidR="00B85EAC" w:rsidRPr="001D42F3" w:rsidRDefault="00B85EAC" w:rsidP="0095696B">
      <w:pPr>
        <w:pStyle w:val="a5"/>
        <w:widowControl/>
        <w:rPr>
          <w:rFonts w:ascii="Times New Roman" w:hAnsi="Times New Roman"/>
          <w:szCs w:val="24"/>
          <w:lang w:val="ru-RU"/>
        </w:rPr>
      </w:pPr>
    </w:p>
    <w:p w14:paraId="6A898BB1" w14:textId="77777777" w:rsidR="00F00713" w:rsidRPr="001D42F3" w:rsidRDefault="00F00713" w:rsidP="0095696B">
      <w:pPr>
        <w:jc w:val="both"/>
        <w:rPr>
          <w:b/>
          <w:sz w:val="24"/>
          <w:szCs w:val="24"/>
          <w:lang w:val="ru-RU"/>
        </w:rPr>
      </w:pPr>
      <w:r w:rsidRPr="001D42F3">
        <w:rPr>
          <w:b/>
          <w:i/>
          <w:sz w:val="24"/>
          <w:szCs w:val="24"/>
          <w:lang w:val="ru-RU"/>
        </w:rPr>
        <w:t>Побочные реакции.</w:t>
      </w:r>
    </w:p>
    <w:p w14:paraId="39C0F851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Данные исследований и эпидемиологические данные позволяют предположить, что применение некоторых НПВП (особенно в высоких дозах и при длительном лечении) может быть связано с небольшим повышенным риском случаев сосудистых тромботических явлений (например инфаркта миокарда или инсульта) (см. раздел «Особенности применения»).</w:t>
      </w:r>
    </w:p>
    <w:p w14:paraId="3B030E4C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Отек, артериальная гипертензия и сердечная недостаточность наблюдались при лечении НПВП.</w:t>
      </w:r>
    </w:p>
    <w:p w14:paraId="7F484F66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Большинство наблюдаемых побочных эффектов желудочно-кишечного происхождения. Может наблюдаться пептическая язва, перфорация или желудочно-кишечное кровотечение, иногда летальное, особенно у пациентов пожилого возраста (см. раздел «Особенности применения»). После применения наблюдались тошнота, рвота, диарея, метеоризм, запор, диспепсия, абдоминальная боль, мелена, рвота кровью, язвенный стоматит, обострение колита и болезни Крона (см. раздел «Особенности применения»). С меньшей частотой наблюдался гастрит.</w:t>
      </w:r>
    </w:p>
    <w:p w14:paraId="141AFB70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Сообщалось о тяжелых поражениях кожи: синдром Стивенса–Джонсона и токсический эпидермальный некролиз (см. раздел «Особенности применения»).</w:t>
      </w:r>
    </w:p>
    <w:p w14:paraId="6A2CA312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Критерии оценки частоты развития побочных реакций лекарственного средства: очень часто (≥ 1/10); часто (≥ 1/100–&lt;</w:t>
      </w:r>
      <w:r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1/10); нечасто (≥ 1/1000–&lt;</w:t>
      </w:r>
      <w:r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1/100); редко (≥ 1/10000–&lt;</w:t>
      </w:r>
      <w:r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1/1000); очень редко (&lt;</w:t>
      </w:r>
      <w:r>
        <w:rPr>
          <w:sz w:val="24"/>
          <w:szCs w:val="24"/>
          <w:lang w:val="uk-UA"/>
        </w:rPr>
        <w:t xml:space="preserve"> </w:t>
      </w:r>
      <w:r w:rsidRPr="006658C9">
        <w:rPr>
          <w:sz w:val="24"/>
          <w:szCs w:val="24"/>
          <w:lang w:val="ru-RU"/>
        </w:rPr>
        <w:t>1/10000); неизвестно (нельзя определить по имеющимся данным).</w:t>
      </w:r>
    </w:p>
    <w:p w14:paraId="4D78C9E5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системы крови и лимфатической системы:</w:t>
      </w:r>
    </w:p>
    <w:p w14:paraId="2DE646A9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анемия;</w:t>
      </w:r>
    </w:p>
    <w:p w14:paraId="76318D85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редко – отклонение показателей анализа крови от нормы (включая изменение количества лейкоцитов), лейкопения, тромбоцитопения.</w:t>
      </w:r>
    </w:p>
    <w:p w14:paraId="660F1622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Сообщали очень редко о случаях агранулоцитоза (см.</w:t>
      </w:r>
      <w:r>
        <w:rPr>
          <w:sz w:val="24"/>
          <w:szCs w:val="24"/>
          <w:lang w:val="uk-UA"/>
        </w:rPr>
        <w:t xml:space="preserve"> </w:t>
      </w:r>
      <w:r w:rsidRPr="006658C9">
        <w:rPr>
          <w:i/>
          <w:iCs/>
          <w:sz w:val="24"/>
          <w:szCs w:val="24"/>
          <w:lang w:val="ru-RU"/>
        </w:rPr>
        <w:t>Отдельные серьезные и/или частые побочные реакции</w:t>
      </w:r>
      <w:r w:rsidRPr="006658C9">
        <w:rPr>
          <w:sz w:val="24"/>
          <w:szCs w:val="24"/>
          <w:lang w:val="ru-RU"/>
        </w:rPr>
        <w:t>).</w:t>
      </w:r>
    </w:p>
    <w:p w14:paraId="6BD10910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иммунной системы:</w:t>
      </w:r>
    </w:p>
    <w:p w14:paraId="4D55AE89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аллергические реакции, кроме анафилактических или анафилактоидных;</w:t>
      </w:r>
    </w:p>
    <w:p w14:paraId="6B15A432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анафилактическая реакция, анафилактоидная реакция, включая шок.</w:t>
      </w:r>
    </w:p>
    <w:p w14:paraId="3848F79E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Психические расстройства:</w:t>
      </w:r>
    </w:p>
    <w:p w14:paraId="62504023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редко – изменение настроения, ночные кошмары;</w:t>
      </w:r>
    </w:p>
    <w:p w14:paraId="3BB97374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спутанность сознания, дезориентация, бессонница.</w:t>
      </w:r>
    </w:p>
    <w:p w14:paraId="548F02D4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нервной системы:</w:t>
      </w:r>
    </w:p>
    <w:p w14:paraId="0D6C691E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часто – головная боль;</w:t>
      </w:r>
    </w:p>
    <w:p w14:paraId="13095F2B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головокружение, сонливость.</w:t>
      </w:r>
    </w:p>
    <w:p w14:paraId="6994C218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органов зрения:</w:t>
      </w:r>
    </w:p>
    <w:p w14:paraId="0AE70BE2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редко – нарушение функции зрения, что включает нечеткость зрения; конъюнктивит.</w:t>
      </w:r>
    </w:p>
    <w:p w14:paraId="5CBF8590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органов слуха и вестибулярного аппарата:</w:t>
      </w:r>
    </w:p>
    <w:p w14:paraId="3A73C273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головокружение;</w:t>
      </w:r>
    </w:p>
    <w:p w14:paraId="05F78727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редко – звон в ушах.</w:t>
      </w:r>
    </w:p>
    <w:p w14:paraId="0408A0B0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Кардиальные нарушения:</w:t>
      </w:r>
    </w:p>
    <w:p w14:paraId="5A093848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редко – ощущение сердцебиения.</w:t>
      </w:r>
    </w:p>
    <w:p w14:paraId="2EC112C6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Сообщалось о сердечной недостаточности, связанной с лечением НПВП.</w:t>
      </w:r>
    </w:p>
    <w:p w14:paraId="3FFA0FFE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Сосудистые расстройства:</w:t>
      </w:r>
    </w:p>
    <w:p w14:paraId="774469D9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повышение артериального давления (см. раздел «Особенности применения»), приливы.</w:t>
      </w:r>
    </w:p>
    <w:p w14:paraId="169D9D39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дыхательной системы, органов грудной клетки и средостения:</w:t>
      </w:r>
    </w:p>
    <w:p w14:paraId="37A5630F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редко – астма у пациентов с аллергией на аспирин и другие НПВП;</w:t>
      </w:r>
    </w:p>
    <w:p w14:paraId="5ED5F7A3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инфекции верхних дыхательных путей, кашель.</w:t>
      </w:r>
    </w:p>
    <w:p w14:paraId="518A031A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пищеварительного тракта:</w:t>
      </w:r>
    </w:p>
    <w:p w14:paraId="36A5E2F3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очень часто – расстройства пищеварительной системы: диспепсия, тошнота, рвота, боль в животе, запор, метеоризм, диарея;</w:t>
      </w:r>
    </w:p>
    <w:p w14:paraId="15004A57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скрытое или макроскопическое желудочно-кишечное кровотечение, стоматит, гастрит, отрыжка;</w:t>
      </w:r>
    </w:p>
    <w:p w14:paraId="473098B6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редко – колит, гастродуоденальная язва, эзофагит;</w:t>
      </w:r>
    </w:p>
    <w:p w14:paraId="2E5F654B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очень редко – желудочно-кишечная перфорация;</w:t>
      </w:r>
    </w:p>
    <w:p w14:paraId="1CBDCCA9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панкреатит.</w:t>
      </w:r>
    </w:p>
    <w:p w14:paraId="38611DC7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Желудочно-кишечное кровотечение, язва или перфорация могут быть тяжелыми и потенциально летальными, особенно у пациентов пожилого возраста (см. раздел «Особенности применения»).</w:t>
      </w:r>
    </w:p>
    <w:p w14:paraId="00C01F7B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гепатобилиарной системы:</w:t>
      </w:r>
    </w:p>
    <w:p w14:paraId="65847066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нарушение показателей функции печени (например повышение трансаминаз или билирубина);</w:t>
      </w:r>
    </w:p>
    <w:p w14:paraId="24D8D42C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очень редко – гепатит;</w:t>
      </w:r>
    </w:p>
    <w:p w14:paraId="2D505621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желтуха, печеночная недостаточность.</w:t>
      </w:r>
    </w:p>
    <w:p w14:paraId="7E050807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кожи и подкожной клетчатки:</w:t>
      </w:r>
    </w:p>
    <w:p w14:paraId="2211DECB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ангионевротический отек, зуд, сыпь;</w:t>
      </w:r>
    </w:p>
    <w:p w14:paraId="229CDB1A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редко – синдром Стивенса–Джонсона, токсический эпидермальный некролиз, крапивница;</w:t>
      </w:r>
    </w:p>
    <w:p w14:paraId="768E479D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очень редко – буллезный дерматит, мультиформная эритема;</w:t>
      </w:r>
    </w:p>
    <w:p w14:paraId="4B5E43B3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реакции фоточувствительности, эксфолиативный дерматит.</w:t>
      </w:r>
    </w:p>
    <w:p w14:paraId="7A5818FE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мочевыделительной системы:</w:t>
      </w:r>
    </w:p>
    <w:p w14:paraId="20C3C8DA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задержка натрия и воды, гиперкалиемия (см. разделы «Особенности применения» и «Взаимодействие с другими лекарственными средствами и другие виды взаимодействий»), изменения показателей функции почек (повышение креатинина и/или мочевины сыворотки крови);</w:t>
      </w:r>
    </w:p>
    <w:p w14:paraId="11FD2159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очень редко – острая почечная недостаточность, в частности у пациентов с факторами риска (см. раздел «Особенности применения»);</w:t>
      </w:r>
    </w:p>
    <w:p w14:paraId="36F5181E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инфекции мочевыводящих путей, нарушение частоты мочеиспускания.</w:t>
      </w:r>
    </w:p>
    <w:p w14:paraId="73AB06FE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Общие расстройства и расстройства в месте введения:</w:t>
      </w:r>
    </w:p>
    <w:p w14:paraId="03384526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нечасто – отек, включая отек нижних конечностей;</w:t>
      </w:r>
    </w:p>
    <w:p w14:paraId="20C1747C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гриппоподобные симптомы.</w:t>
      </w:r>
    </w:p>
    <w:p w14:paraId="389E7CEF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Со стороны опорно-двигательной системы:</w:t>
      </w:r>
    </w:p>
    <w:p w14:paraId="332BBD09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неизвестно – артралгия, боль в спине, признаки и симптомы, связанные с суставами.</w:t>
      </w:r>
    </w:p>
    <w:p w14:paraId="2FFFBE70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Отдельные серьезные и/или частые побочные реакции.</w:t>
      </w:r>
    </w:p>
    <w:p w14:paraId="0139A310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Сообщали очень редко о случаях агранулоцитоза у пациентов, лечившихся мелоксикамом и другими потенциально миелотоксическими лекарственными средствами (см. раздел «Взаимодействие с другими лекарственными средствами и другие виды взаимодействий»).</w:t>
      </w:r>
    </w:p>
    <w:p w14:paraId="1B313E28" w14:textId="77777777" w:rsidR="006C2851" w:rsidRPr="006658C9" w:rsidRDefault="006C2851" w:rsidP="006C2851">
      <w:pPr>
        <w:widowControl/>
        <w:jc w:val="both"/>
        <w:rPr>
          <w:sz w:val="24"/>
          <w:szCs w:val="24"/>
          <w:lang w:val="ru-RU"/>
        </w:rPr>
      </w:pPr>
      <w:r w:rsidRPr="006658C9">
        <w:rPr>
          <w:i/>
          <w:iCs/>
          <w:sz w:val="24"/>
          <w:szCs w:val="24"/>
          <w:lang w:val="ru-RU"/>
        </w:rPr>
        <w:t>Побочные реакции, которые не наблюдались во время применения препарата, но которые общепринято характерны для других соединений класса.</w:t>
      </w:r>
    </w:p>
    <w:p w14:paraId="4B2A57DA" w14:textId="77777777" w:rsidR="00F00713" w:rsidRPr="006658C9" w:rsidRDefault="006C2851" w:rsidP="0095696B">
      <w:pPr>
        <w:widowControl/>
        <w:jc w:val="both"/>
        <w:rPr>
          <w:sz w:val="24"/>
          <w:szCs w:val="24"/>
          <w:lang w:val="ru-RU"/>
        </w:rPr>
      </w:pPr>
      <w:r w:rsidRPr="006658C9">
        <w:rPr>
          <w:sz w:val="24"/>
          <w:szCs w:val="24"/>
          <w:lang w:val="ru-RU"/>
        </w:rPr>
        <w:t>Органическое почечное поражение, что, вероятно, приводит к острой почечной недостаточности: сообщалось очень редко о случаях интерстициального нефрита, острого тубулярного некроза, нефротического синдрома и папиллярного некроза (см. раздел «Особенности применения»)</w:t>
      </w:r>
      <w:r w:rsidR="00F00713" w:rsidRPr="001D42F3">
        <w:rPr>
          <w:sz w:val="24"/>
          <w:lang w:val="ru-RU"/>
        </w:rPr>
        <w:t>.</w:t>
      </w:r>
    </w:p>
    <w:p w14:paraId="32792AF0" w14:textId="77777777" w:rsidR="00F00713" w:rsidRPr="001D42F3" w:rsidRDefault="00F00713" w:rsidP="0095696B">
      <w:pPr>
        <w:widowControl/>
        <w:jc w:val="both"/>
        <w:rPr>
          <w:b/>
          <w:i/>
          <w:sz w:val="24"/>
          <w:lang w:val="ru-RU"/>
        </w:rPr>
      </w:pPr>
    </w:p>
    <w:p w14:paraId="6D710829" w14:textId="77777777" w:rsidR="004E6C74" w:rsidRPr="001D42F3" w:rsidRDefault="00F00713" w:rsidP="0095696B">
      <w:pPr>
        <w:widowControl/>
        <w:jc w:val="both"/>
        <w:rPr>
          <w:noProof/>
          <w:sz w:val="24"/>
          <w:lang w:val="ru-RU"/>
        </w:rPr>
      </w:pPr>
      <w:r w:rsidRPr="001D42F3">
        <w:rPr>
          <w:b/>
          <w:i/>
          <w:noProof/>
          <w:sz w:val="24"/>
          <w:lang w:val="ru-RU"/>
        </w:rPr>
        <w:t>Срок годности.</w:t>
      </w:r>
      <w:r w:rsidRPr="001D42F3">
        <w:rPr>
          <w:noProof/>
          <w:sz w:val="24"/>
          <w:lang w:val="ru-RU"/>
        </w:rPr>
        <w:t xml:space="preserve"> </w:t>
      </w:r>
    </w:p>
    <w:p w14:paraId="2452F7F8" w14:textId="77777777" w:rsidR="00F00713" w:rsidRPr="001D42F3" w:rsidRDefault="00F00713" w:rsidP="0095696B">
      <w:pPr>
        <w:widowControl/>
        <w:jc w:val="both"/>
        <w:rPr>
          <w:noProof/>
          <w:sz w:val="24"/>
          <w:lang w:val="ru-RU"/>
        </w:rPr>
      </w:pPr>
      <w:r w:rsidRPr="001D42F3">
        <w:rPr>
          <w:noProof/>
          <w:sz w:val="24"/>
          <w:lang w:val="ru-RU"/>
        </w:rPr>
        <w:t>3 года.</w:t>
      </w:r>
    </w:p>
    <w:p w14:paraId="1DFFAE4D" w14:textId="77777777" w:rsidR="00884183" w:rsidRPr="001D42F3" w:rsidRDefault="00884183" w:rsidP="0095696B">
      <w:pPr>
        <w:widowControl/>
        <w:rPr>
          <w:b/>
          <w:i/>
          <w:noProof/>
          <w:sz w:val="24"/>
          <w:lang w:val="ru-RU"/>
        </w:rPr>
      </w:pPr>
      <w:r w:rsidRPr="001D42F3">
        <w:rPr>
          <w:noProof/>
          <w:sz w:val="24"/>
          <w:lang w:val="ru-RU"/>
        </w:rPr>
        <w:t>Не использовать после истечения срока годности, указанного на упаковке.</w:t>
      </w:r>
    </w:p>
    <w:p w14:paraId="74CE8534" w14:textId="77777777" w:rsidR="00F00713" w:rsidRPr="001D42F3" w:rsidRDefault="00F00713" w:rsidP="0095696B">
      <w:pPr>
        <w:widowControl/>
        <w:jc w:val="both"/>
        <w:rPr>
          <w:b/>
          <w:noProof/>
          <w:sz w:val="24"/>
          <w:lang w:val="ru-RU"/>
        </w:rPr>
      </w:pPr>
    </w:p>
    <w:p w14:paraId="31D915CD" w14:textId="77777777" w:rsidR="00F00713" w:rsidRPr="001D42F3" w:rsidRDefault="00F00713" w:rsidP="0095696B">
      <w:pPr>
        <w:widowControl/>
        <w:jc w:val="both"/>
        <w:rPr>
          <w:b/>
          <w:noProof/>
          <w:sz w:val="24"/>
          <w:lang w:val="ru-RU"/>
        </w:rPr>
      </w:pPr>
      <w:r w:rsidRPr="001D42F3">
        <w:rPr>
          <w:b/>
          <w:noProof/>
          <w:sz w:val="24"/>
          <w:lang w:val="ru-RU"/>
        </w:rPr>
        <w:t>Условия хранения.</w:t>
      </w:r>
    </w:p>
    <w:p w14:paraId="70262154" w14:textId="77777777" w:rsidR="00884183" w:rsidRPr="001D42F3" w:rsidRDefault="00C96157" w:rsidP="0095696B">
      <w:pPr>
        <w:widowControl/>
        <w:rPr>
          <w:i/>
          <w:noProof/>
          <w:sz w:val="24"/>
          <w:lang w:val="ru-RU"/>
        </w:rPr>
      </w:pPr>
      <w:r w:rsidRPr="001D42F3">
        <w:rPr>
          <w:noProof/>
          <w:sz w:val="24"/>
          <w:szCs w:val="24"/>
          <w:lang w:val="ru-RU"/>
        </w:rPr>
        <w:t>Не требует специальных условий хранения.</w:t>
      </w:r>
    </w:p>
    <w:p w14:paraId="01D974C7" w14:textId="77777777" w:rsidR="00884183" w:rsidRPr="001D42F3" w:rsidRDefault="00884183" w:rsidP="0095696B">
      <w:pPr>
        <w:rPr>
          <w:noProof/>
          <w:sz w:val="24"/>
          <w:szCs w:val="24"/>
          <w:lang w:val="ru-RU"/>
        </w:rPr>
      </w:pPr>
      <w:r w:rsidRPr="001D42F3">
        <w:rPr>
          <w:noProof/>
          <w:sz w:val="24"/>
          <w:szCs w:val="24"/>
          <w:lang w:val="ru-RU"/>
        </w:rPr>
        <w:t>Хранить в недоступном для детей месте.</w:t>
      </w:r>
    </w:p>
    <w:p w14:paraId="0E61A115" w14:textId="77777777" w:rsidR="004E6C74" w:rsidRPr="001D42F3" w:rsidRDefault="004E6C74" w:rsidP="0095696B">
      <w:pPr>
        <w:rPr>
          <w:noProof/>
          <w:sz w:val="24"/>
          <w:szCs w:val="24"/>
          <w:lang w:val="ru-RU"/>
        </w:rPr>
      </w:pPr>
    </w:p>
    <w:p w14:paraId="526D4B3E" w14:textId="77777777" w:rsidR="00F00713" w:rsidRPr="001D42F3" w:rsidRDefault="00F00713" w:rsidP="0095696B">
      <w:pPr>
        <w:widowControl/>
        <w:jc w:val="both"/>
        <w:rPr>
          <w:b/>
          <w:noProof/>
          <w:sz w:val="24"/>
          <w:lang w:val="ru-RU"/>
        </w:rPr>
      </w:pPr>
      <w:r w:rsidRPr="001D42F3">
        <w:rPr>
          <w:b/>
          <w:noProof/>
          <w:sz w:val="24"/>
          <w:lang w:val="ru-RU"/>
        </w:rPr>
        <w:t>Упаковка.</w:t>
      </w:r>
    </w:p>
    <w:p w14:paraId="45EC653C" w14:textId="77777777" w:rsidR="00884183" w:rsidRPr="001D42F3" w:rsidRDefault="00884183" w:rsidP="0095696B">
      <w:pPr>
        <w:rPr>
          <w:noProof/>
          <w:lang w:val="ru-RU"/>
        </w:rPr>
      </w:pPr>
      <w:r w:rsidRPr="001D42F3">
        <w:rPr>
          <w:noProof/>
          <w:sz w:val="24"/>
          <w:szCs w:val="24"/>
          <w:lang w:val="ru-RU"/>
        </w:rPr>
        <w:t>По 10 таблеток в блистере. По 1 или 2 блистера в пачке.</w:t>
      </w:r>
    </w:p>
    <w:p w14:paraId="18F4953A" w14:textId="77777777" w:rsidR="00F00713" w:rsidRPr="001D42F3" w:rsidRDefault="00F00713" w:rsidP="0095696B">
      <w:pPr>
        <w:widowControl/>
        <w:jc w:val="both"/>
        <w:rPr>
          <w:b/>
          <w:noProof/>
          <w:sz w:val="24"/>
          <w:lang w:val="ru-RU"/>
        </w:rPr>
      </w:pPr>
    </w:p>
    <w:p w14:paraId="7A0D9128" w14:textId="77777777" w:rsidR="00F00713" w:rsidRPr="001D42F3" w:rsidRDefault="00F00713" w:rsidP="0095696B">
      <w:pPr>
        <w:widowControl/>
        <w:jc w:val="both"/>
        <w:rPr>
          <w:sz w:val="24"/>
          <w:lang w:val="ru-RU"/>
        </w:rPr>
      </w:pPr>
      <w:r w:rsidRPr="001D42F3">
        <w:rPr>
          <w:b/>
          <w:sz w:val="24"/>
          <w:lang w:val="ru-RU"/>
        </w:rPr>
        <w:t xml:space="preserve">Категория отпуска. </w:t>
      </w:r>
      <w:r w:rsidRPr="001D42F3">
        <w:rPr>
          <w:sz w:val="24"/>
          <w:lang w:val="ru-RU"/>
        </w:rPr>
        <w:t>По рецепту.</w:t>
      </w:r>
    </w:p>
    <w:p w14:paraId="7586A97C" w14:textId="77777777" w:rsidR="00F00713" w:rsidRPr="001D42F3" w:rsidRDefault="00F00713" w:rsidP="0095696B">
      <w:pPr>
        <w:widowControl/>
        <w:jc w:val="both"/>
        <w:rPr>
          <w:b/>
          <w:sz w:val="24"/>
          <w:szCs w:val="24"/>
          <w:lang w:val="ru-RU"/>
        </w:rPr>
      </w:pPr>
    </w:p>
    <w:p w14:paraId="4A20E0EC" w14:textId="77777777" w:rsidR="00F00713" w:rsidRPr="001D42F3" w:rsidRDefault="00F00713" w:rsidP="0095696B">
      <w:pPr>
        <w:widowControl/>
        <w:jc w:val="both"/>
        <w:rPr>
          <w:sz w:val="24"/>
          <w:szCs w:val="24"/>
          <w:lang w:val="ru-RU"/>
        </w:rPr>
      </w:pPr>
      <w:r w:rsidRPr="001D42F3">
        <w:rPr>
          <w:b/>
          <w:sz w:val="24"/>
          <w:szCs w:val="24"/>
          <w:lang w:val="ru-RU"/>
        </w:rPr>
        <w:t>Производитель.</w:t>
      </w:r>
    </w:p>
    <w:p w14:paraId="6A61A6B5" w14:textId="77777777" w:rsidR="00F00713" w:rsidRPr="001D42F3" w:rsidRDefault="00F00713" w:rsidP="0095696B">
      <w:pPr>
        <w:rPr>
          <w:sz w:val="24"/>
          <w:szCs w:val="24"/>
          <w:lang w:val="ru-RU"/>
        </w:rPr>
      </w:pPr>
      <w:r w:rsidRPr="001D42F3">
        <w:rPr>
          <w:sz w:val="24"/>
          <w:szCs w:val="24"/>
          <w:lang w:val="ru-RU"/>
        </w:rPr>
        <w:t>АО «Фармак».</w:t>
      </w:r>
    </w:p>
    <w:p w14:paraId="3F4559F3" w14:textId="77777777" w:rsidR="00F00713" w:rsidRPr="001D42F3" w:rsidRDefault="00F00713" w:rsidP="0095696B">
      <w:pPr>
        <w:widowControl/>
        <w:jc w:val="both"/>
        <w:rPr>
          <w:b/>
          <w:sz w:val="24"/>
          <w:szCs w:val="24"/>
          <w:lang w:val="ru-RU"/>
        </w:rPr>
      </w:pPr>
    </w:p>
    <w:p w14:paraId="6298A434" w14:textId="77777777" w:rsidR="00F00713" w:rsidRPr="001D42F3" w:rsidRDefault="00F00713" w:rsidP="0095696B">
      <w:pPr>
        <w:widowControl/>
        <w:jc w:val="both"/>
        <w:rPr>
          <w:b/>
          <w:sz w:val="24"/>
          <w:szCs w:val="24"/>
          <w:lang w:val="ru-RU"/>
        </w:rPr>
      </w:pPr>
      <w:r w:rsidRPr="001D42F3">
        <w:rPr>
          <w:b/>
          <w:sz w:val="24"/>
          <w:szCs w:val="24"/>
          <w:lang w:val="ru-RU"/>
        </w:rPr>
        <w:t>Местонахождение производителя и адрес места осуществления его деятельности.</w:t>
      </w:r>
    </w:p>
    <w:p w14:paraId="14E0526F" w14:textId="77777777" w:rsidR="00F00713" w:rsidRPr="001D42F3" w:rsidRDefault="00F00713" w:rsidP="0095696B">
      <w:pPr>
        <w:widowControl/>
        <w:tabs>
          <w:tab w:val="left" w:pos="8085"/>
        </w:tabs>
        <w:rPr>
          <w:sz w:val="24"/>
          <w:szCs w:val="24"/>
          <w:lang w:val="ru-RU"/>
        </w:rPr>
      </w:pPr>
      <w:r w:rsidRPr="001D42F3">
        <w:rPr>
          <w:sz w:val="24"/>
          <w:szCs w:val="24"/>
          <w:lang w:val="ru-RU"/>
        </w:rPr>
        <w:t>Украина, 04080, г. Киев, ул. Кирилловская, 74.</w:t>
      </w:r>
    </w:p>
    <w:p w14:paraId="7CC7233E" w14:textId="77777777" w:rsidR="00D36CC2" w:rsidRPr="001D42F3" w:rsidRDefault="00D36CC2" w:rsidP="0095696B">
      <w:pPr>
        <w:rPr>
          <w:lang w:val="ru-RU"/>
        </w:rPr>
      </w:pPr>
    </w:p>
    <w:p w14:paraId="7EA00731" w14:textId="77777777" w:rsidR="00022852" w:rsidRPr="001D42F3" w:rsidRDefault="003943E8" w:rsidP="0095696B">
      <w:pPr>
        <w:rPr>
          <w:noProof/>
          <w:sz w:val="24"/>
          <w:lang w:val="ru-RU"/>
        </w:rPr>
      </w:pPr>
      <w:r w:rsidRPr="001D42F3">
        <w:rPr>
          <w:b/>
          <w:noProof/>
          <w:sz w:val="24"/>
          <w:lang w:val="ru-RU"/>
        </w:rPr>
        <w:t xml:space="preserve">Дата последнего </w:t>
      </w:r>
      <w:r w:rsidR="00BB5D5D">
        <w:rPr>
          <w:b/>
          <w:noProof/>
          <w:sz w:val="24"/>
          <w:lang w:val="ru-RU"/>
        </w:rPr>
        <w:t>пересмотра</w:t>
      </w:r>
      <w:r w:rsidRPr="001D42F3">
        <w:rPr>
          <w:b/>
          <w:noProof/>
          <w:sz w:val="24"/>
          <w:lang w:val="ru-RU"/>
        </w:rPr>
        <w:t>.</w:t>
      </w:r>
      <w:r w:rsidR="006C2851">
        <w:rPr>
          <w:b/>
          <w:noProof/>
          <w:sz w:val="24"/>
          <w:lang w:val="ru-RU"/>
        </w:rPr>
        <w:t xml:space="preserve"> </w:t>
      </w:r>
      <w:r w:rsidR="00AB2BC3" w:rsidRPr="001D42F3">
        <w:rPr>
          <w:noProof/>
          <w:sz w:val="24"/>
          <w:lang w:val="ru-RU"/>
        </w:rPr>
        <w:t>30.11.2020.</w:t>
      </w:r>
    </w:p>
    <w:p w14:paraId="5C40E4CD" w14:textId="77777777" w:rsidR="00022852" w:rsidRPr="001D42F3" w:rsidRDefault="00022852" w:rsidP="0095696B">
      <w:pPr>
        <w:rPr>
          <w:noProof/>
          <w:sz w:val="24"/>
          <w:lang w:val="ru-RU"/>
        </w:rPr>
      </w:pPr>
    </w:p>
    <w:p w14:paraId="40966C02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65BA52E7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380B6161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27A38A93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4807F60E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747749F4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1F5D11CD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50809833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705BB53D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0944E7C4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337BEE65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34756844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172DCECC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536336A2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2033CC7B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7E38462C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4FE90EBA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3AE6E271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4689DFF8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3261FB8B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73FBE427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216C9226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5D2F7785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0109209B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56349461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3A2D1E50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6FF0B688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00976696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4B47409D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0786A2C1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531E6B47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5106603A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7CA67E50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1A48BCD3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7380A492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29365E8A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25D5A462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10100BB0" w14:textId="77777777" w:rsidR="00022852" w:rsidRPr="001D42F3" w:rsidRDefault="00022852" w:rsidP="0095696B">
      <w:pPr>
        <w:rPr>
          <w:b/>
          <w:noProof/>
          <w:sz w:val="24"/>
          <w:lang w:val="ru-RU"/>
        </w:rPr>
      </w:pPr>
    </w:p>
    <w:p w14:paraId="529D085F" w14:textId="77777777" w:rsidR="00BD667A" w:rsidRPr="001D42F3" w:rsidRDefault="00BD667A" w:rsidP="0095696B">
      <w:pPr>
        <w:rPr>
          <w:b/>
          <w:noProof/>
          <w:sz w:val="24"/>
          <w:lang w:val="ru-RU"/>
        </w:rPr>
      </w:pPr>
    </w:p>
    <w:p w14:paraId="6D570F82" w14:textId="77777777" w:rsidR="00BD667A" w:rsidRPr="001D42F3" w:rsidRDefault="00BD667A" w:rsidP="0095696B">
      <w:pPr>
        <w:rPr>
          <w:b/>
          <w:noProof/>
          <w:sz w:val="24"/>
          <w:lang w:val="ru-RU"/>
        </w:rPr>
      </w:pPr>
    </w:p>
    <w:p w14:paraId="3FFAD6C0" w14:textId="77777777" w:rsidR="00BD667A" w:rsidRPr="001D42F3" w:rsidRDefault="00BD667A" w:rsidP="0095696B">
      <w:pPr>
        <w:rPr>
          <w:b/>
          <w:noProof/>
          <w:sz w:val="24"/>
          <w:lang w:val="ru-RU"/>
        </w:rPr>
      </w:pPr>
    </w:p>
    <w:p w14:paraId="150D6C94" w14:textId="77777777" w:rsidR="00BD667A" w:rsidRPr="001D42F3" w:rsidRDefault="00BD667A" w:rsidP="0095696B">
      <w:pPr>
        <w:rPr>
          <w:b/>
          <w:noProof/>
          <w:sz w:val="24"/>
          <w:lang w:val="ru-RU"/>
        </w:rPr>
      </w:pPr>
    </w:p>
    <w:sectPr w:rsidR="00BD667A" w:rsidRPr="001D42F3" w:rsidSect="00435B2D">
      <w:footerReference w:type="even" r:id="rId7"/>
      <w:endnotePr>
        <w:numFmt w:val="decimal"/>
      </w:endnotePr>
      <w:pgSz w:w="11906" w:h="16838"/>
      <w:pgMar w:top="426" w:right="850" w:bottom="426" w:left="1417" w:header="72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8D932" w14:textId="77777777" w:rsidR="00685885" w:rsidRDefault="00685885" w:rsidP="00F00713">
      <w:r>
        <w:separator/>
      </w:r>
    </w:p>
  </w:endnote>
  <w:endnote w:type="continuationSeparator" w:id="0">
    <w:p w14:paraId="42F3D085" w14:textId="77777777" w:rsidR="00685885" w:rsidRDefault="00685885" w:rsidP="00F0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45DB" w14:textId="77777777" w:rsidR="0003401E" w:rsidRDefault="0003401E">
    <w:pPr>
      <w:pStyle w:val="a3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20CEE8" w14:textId="77777777" w:rsidR="0003401E" w:rsidRDefault="0003401E">
    <w:pPr>
      <w:pStyle w:val="a3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6777" w14:textId="77777777" w:rsidR="00685885" w:rsidRDefault="00685885" w:rsidP="00F00713">
      <w:r>
        <w:separator/>
      </w:r>
    </w:p>
  </w:footnote>
  <w:footnote w:type="continuationSeparator" w:id="0">
    <w:p w14:paraId="5EB56C44" w14:textId="77777777" w:rsidR="00685885" w:rsidRDefault="00685885" w:rsidP="00F0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02E"/>
    <w:multiLevelType w:val="multilevel"/>
    <w:tmpl w:val="789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E3AFA"/>
    <w:multiLevelType w:val="hybridMultilevel"/>
    <w:tmpl w:val="7B7A632E"/>
    <w:lvl w:ilvl="0" w:tplc="EAD8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327F"/>
    <w:multiLevelType w:val="multilevel"/>
    <w:tmpl w:val="EF48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913CA"/>
    <w:multiLevelType w:val="multilevel"/>
    <w:tmpl w:val="C60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91811"/>
    <w:multiLevelType w:val="hybridMultilevel"/>
    <w:tmpl w:val="DE180402"/>
    <w:lvl w:ilvl="0" w:tplc="EAD8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5525F"/>
    <w:multiLevelType w:val="hybridMultilevel"/>
    <w:tmpl w:val="59F0BE90"/>
    <w:lvl w:ilvl="0" w:tplc="9AD43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C1629"/>
    <w:multiLevelType w:val="hybridMultilevel"/>
    <w:tmpl w:val="998E7DFC"/>
    <w:lvl w:ilvl="0" w:tplc="EAD8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15A8"/>
    <w:multiLevelType w:val="hybridMultilevel"/>
    <w:tmpl w:val="0D90D058"/>
    <w:lvl w:ilvl="0" w:tplc="EAD8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13"/>
    <w:rsid w:val="0000189E"/>
    <w:rsid w:val="000043E1"/>
    <w:rsid w:val="00022852"/>
    <w:rsid w:val="0003401E"/>
    <w:rsid w:val="000465CE"/>
    <w:rsid w:val="000532D1"/>
    <w:rsid w:val="00070436"/>
    <w:rsid w:val="00071F43"/>
    <w:rsid w:val="00090B29"/>
    <w:rsid w:val="000965E2"/>
    <w:rsid w:val="000D085F"/>
    <w:rsid w:val="000D6660"/>
    <w:rsid w:val="000E6878"/>
    <w:rsid w:val="000E6EDD"/>
    <w:rsid w:val="000F4BA4"/>
    <w:rsid w:val="000F4BF8"/>
    <w:rsid w:val="00102D93"/>
    <w:rsid w:val="00115ED1"/>
    <w:rsid w:val="00116CD5"/>
    <w:rsid w:val="00141F01"/>
    <w:rsid w:val="00142E54"/>
    <w:rsid w:val="00143E1E"/>
    <w:rsid w:val="001558D6"/>
    <w:rsid w:val="001811AC"/>
    <w:rsid w:val="0018250A"/>
    <w:rsid w:val="00184555"/>
    <w:rsid w:val="0019183F"/>
    <w:rsid w:val="001A001A"/>
    <w:rsid w:val="001A393D"/>
    <w:rsid w:val="001B6B84"/>
    <w:rsid w:val="001C74F1"/>
    <w:rsid w:val="001D2FBD"/>
    <w:rsid w:val="001D42F3"/>
    <w:rsid w:val="001E4E1A"/>
    <w:rsid w:val="001F0D2E"/>
    <w:rsid w:val="001F3B81"/>
    <w:rsid w:val="00205258"/>
    <w:rsid w:val="002057C6"/>
    <w:rsid w:val="0021187A"/>
    <w:rsid w:val="0021512A"/>
    <w:rsid w:val="00254780"/>
    <w:rsid w:val="00286E19"/>
    <w:rsid w:val="00296691"/>
    <w:rsid w:val="002C75DC"/>
    <w:rsid w:val="002D078E"/>
    <w:rsid w:val="002E5694"/>
    <w:rsid w:val="00301A60"/>
    <w:rsid w:val="003107CB"/>
    <w:rsid w:val="003151D8"/>
    <w:rsid w:val="003239EB"/>
    <w:rsid w:val="00384BFD"/>
    <w:rsid w:val="003917FE"/>
    <w:rsid w:val="003943E8"/>
    <w:rsid w:val="00395FF0"/>
    <w:rsid w:val="003B06C8"/>
    <w:rsid w:val="003B13EC"/>
    <w:rsid w:val="003B2EC9"/>
    <w:rsid w:val="004113FC"/>
    <w:rsid w:val="00435B2D"/>
    <w:rsid w:val="00472939"/>
    <w:rsid w:val="00476DFF"/>
    <w:rsid w:val="00485B7F"/>
    <w:rsid w:val="00496802"/>
    <w:rsid w:val="004A5B64"/>
    <w:rsid w:val="004B35C3"/>
    <w:rsid w:val="004C7DE0"/>
    <w:rsid w:val="004E6C74"/>
    <w:rsid w:val="004F214D"/>
    <w:rsid w:val="004F7202"/>
    <w:rsid w:val="00502DE6"/>
    <w:rsid w:val="0054166F"/>
    <w:rsid w:val="0055649B"/>
    <w:rsid w:val="00564017"/>
    <w:rsid w:val="0057012E"/>
    <w:rsid w:val="00570EA5"/>
    <w:rsid w:val="005B6B6D"/>
    <w:rsid w:val="005C1A0F"/>
    <w:rsid w:val="005D70C5"/>
    <w:rsid w:val="005E73ED"/>
    <w:rsid w:val="005F31AC"/>
    <w:rsid w:val="005F4F4C"/>
    <w:rsid w:val="00605926"/>
    <w:rsid w:val="00611C18"/>
    <w:rsid w:val="006213BC"/>
    <w:rsid w:val="006232B3"/>
    <w:rsid w:val="006247FD"/>
    <w:rsid w:val="00644A0A"/>
    <w:rsid w:val="00661F23"/>
    <w:rsid w:val="006658C9"/>
    <w:rsid w:val="00685885"/>
    <w:rsid w:val="006870AB"/>
    <w:rsid w:val="00693793"/>
    <w:rsid w:val="006A2345"/>
    <w:rsid w:val="006A39F3"/>
    <w:rsid w:val="006B7B37"/>
    <w:rsid w:val="006C1D32"/>
    <w:rsid w:val="006C2851"/>
    <w:rsid w:val="006F16F6"/>
    <w:rsid w:val="006F194C"/>
    <w:rsid w:val="006F20E1"/>
    <w:rsid w:val="006F33F9"/>
    <w:rsid w:val="007037F2"/>
    <w:rsid w:val="00715648"/>
    <w:rsid w:val="00735355"/>
    <w:rsid w:val="00771384"/>
    <w:rsid w:val="007B007E"/>
    <w:rsid w:val="007D3FD8"/>
    <w:rsid w:val="007D4249"/>
    <w:rsid w:val="007D7225"/>
    <w:rsid w:val="007E51A4"/>
    <w:rsid w:val="007E5861"/>
    <w:rsid w:val="008064D7"/>
    <w:rsid w:val="00806D8E"/>
    <w:rsid w:val="00807EB0"/>
    <w:rsid w:val="008143B2"/>
    <w:rsid w:val="0084593A"/>
    <w:rsid w:val="008641E7"/>
    <w:rsid w:val="00880096"/>
    <w:rsid w:val="00884183"/>
    <w:rsid w:val="0089526C"/>
    <w:rsid w:val="008A0B6E"/>
    <w:rsid w:val="008A2259"/>
    <w:rsid w:val="008B5B61"/>
    <w:rsid w:val="008C3268"/>
    <w:rsid w:val="008D3E1E"/>
    <w:rsid w:val="008F381D"/>
    <w:rsid w:val="008F7F23"/>
    <w:rsid w:val="009277CE"/>
    <w:rsid w:val="009363F4"/>
    <w:rsid w:val="0095696B"/>
    <w:rsid w:val="009611D7"/>
    <w:rsid w:val="009A157D"/>
    <w:rsid w:val="009C0411"/>
    <w:rsid w:val="009F7848"/>
    <w:rsid w:val="00A02499"/>
    <w:rsid w:val="00A03D64"/>
    <w:rsid w:val="00A35383"/>
    <w:rsid w:val="00A36764"/>
    <w:rsid w:val="00A819E1"/>
    <w:rsid w:val="00A92398"/>
    <w:rsid w:val="00A933C9"/>
    <w:rsid w:val="00AB17B6"/>
    <w:rsid w:val="00AB2BC3"/>
    <w:rsid w:val="00AC5BF9"/>
    <w:rsid w:val="00AD4997"/>
    <w:rsid w:val="00AE2A2E"/>
    <w:rsid w:val="00AF2865"/>
    <w:rsid w:val="00B138AA"/>
    <w:rsid w:val="00B24A7B"/>
    <w:rsid w:val="00B272F1"/>
    <w:rsid w:val="00B466DF"/>
    <w:rsid w:val="00B543CF"/>
    <w:rsid w:val="00B602BE"/>
    <w:rsid w:val="00B717D6"/>
    <w:rsid w:val="00B822B8"/>
    <w:rsid w:val="00B85EAC"/>
    <w:rsid w:val="00BA3434"/>
    <w:rsid w:val="00BB5D5D"/>
    <w:rsid w:val="00BD576C"/>
    <w:rsid w:val="00BD667A"/>
    <w:rsid w:val="00BE3E94"/>
    <w:rsid w:val="00BE55CC"/>
    <w:rsid w:val="00BE6556"/>
    <w:rsid w:val="00C05E3E"/>
    <w:rsid w:val="00C44B4B"/>
    <w:rsid w:val="00C53562"/>
    <w:rsid w:val="00C7483E"/>
    <w:rsid w:val="00C90386"/>
    <w:rsid w:val="00C90EC5"/>
    <w:rsid w:val="00C96157"/>
    <w:rsid w:val="00CF217D"/>
    <w:rsid w:val="00D04D2A"/>
    <w:rsid w:val="00D05987"/>
    <w:rsid w:val="00D10C8C"/>
    <w:rsid w:val="00D13645"/>
    <w:rsid w:val="00D20E3A"/>
    <w:rsid w:val="00D33A73"/>
    <w:rsid w:val="00D36CC2"/>
    <w:rsid w:val="00D4100D"/>
    <w:rsid w:val="00D5742F"/>
    <w:rsid w:val="00D61A1F"/>
    <w:rsid w:val="00D710C5"/>
    <w:rsid w:val="00D81F80"/>
    <w:rsid w:val="00DB2A04"/>
    <w:rsid w:val="00DC2F9E"/>
    <w:rsid w:val="00DC4447"/>
    <w:rsid w:val="00DD6BB3"/>
    <w:rsid w:val="00DE0A60"/>
    <w:rsid w:val="00E32B9C"/>
    <w:rsid w:val="00E71F88"/>
    <w:rsid w:val="00E7595E"/>
    <w:rsid w:val="00E8212E"/>
    <w:rsid w:val="00EA04C8"/>
    <w:rsid w:val="00EA210A"/>
    <w:rsid w:val="00EB04A8"/>
    <w:rsid w:val="00EC5F52"/>
    <w:rsid w:val="00F00713"/>
    <w:rsid w:val="00F01DB9"/>
    <w:rsid w:val="00F07540"/>
    <w:rsid w:val="00F4583C"/>
    <w:rsid w:val="00F647D4"/>
    <w:rsid w:val="00F6709E"/>
    <w:rsid w:val="00F752CD"/>
    <w:rsid w:val="00F8224B"/>
    <w:rsid w:val="00F86896"/>
    <w:rsid w:val="00F87452"/>
    <w:rsid w:val="00FA756A"/>
    <w:rsid w:val="00FE2BFB"/>
    <w:rsid w:val="00FE5E62"/>
    <w:rsid w:val="00FE6671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AF430"/>
  <w15:chartTrackingRefBased/>
  <w15:docId w15:val="{D7043F0D-1E00-4BF6-A18A-033C8575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F00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00713"/>
    <w:pPr>
      <w:keepNext/>
      <w:jc w:val="center"/>
      <w:outlineLvl w:val="1"/>
    </w:pPr>
    <w:rPr>
      <w:rFonts w:eastAsiaTheme="minorEastAsia"/>
      <w:b/>
      <w:sz w:val="24"/>
    </w:rPr>
  </w:style>
  <w:style w:type="paragraph" w:styleId="3">
    <w:name w:val="heading 3"/>
    <w:basedOn w:val="a"/>
    <w:next w:val="a"/>
    <w:link w:val="30"/>
    <w:qFormat/>
    <w:rsid w:val="00F00713"/>
    <w:pPr>
      <w:keepNext/>
      <w:outlineLvl w:val="2"/>
    </w:pPr>
    <w:rPr>
      <w:rFonts w:eastAsiaTheme="minorEastAsia"/>
      <w:b/>
      <w:sz w:val="24"/>
    </w:rPr>
  </w:style>
  <w:style w:type="paragraph" w:styleId="4">
    <w:name w:val="heading 4"/>
    <w:basedOn w:val="a"/>
    <w:next w:val="a"/>
    <w:link w:val="40"/>
    <w:qFormat/>
    <w:rsid w:val="00F00713"/>
    <w:pPr>
      <w:keepNext/>
      <w:outlineLvl w:val="3"/>
    </w:pPr>
    <w:rPr>
      <w:rFonts w:eastAsiaTheme="minorEastAsia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F00713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713"/>
    <w:rPr>
      <w:rFonts w:ascii="Times New Roman" w:eastAsiaTheme="minorEastAsia" w:hAnsi="Times New Roman" w:cs="Times New Roman"/>
      <w:b/>
      <w:sz w:val="24"/>
      <w:szCs w:val="20"/>
      <w:lang w:val="en-GB" w:eastAsia="uk-UA"/>
    </w:rPr>
  </w:style>
  <w:style w:type="character" w:customStyle="1" w:styleId="30">
    <w:name w:val="Заголовок 3 Знак"/>
    <w:basedOn w:val="a0"/>
    <w:link w:val="3"/>
    <w:rsid w:val="00F00713"/>
    <w:rPr>
      <w:rFonts w:ascii="Times New Roman" w:eastAsiaTheme="minorEastAsia" w:hAnsi="Times New Roman" w:cs="Times New Roman"/>
      <w:b/>
      <w:sz w:val="24"/>
      <w:szCs w:val="20"/>
      <w:lang w:val="en-GB" w:eastAsia="uk-UA"/>
    </w:rPr>
  </w:style>
  <w:style w:type="character" w:customStyle="1" w:styleId="40">
    <w:name w:val="Заголовок 4 Знак"/>
    <w:basedOn w:val="a0"/>
    <w:link w:val="4"/>
    <w:rsid w:val="00F00713"/>
    <w:rPr>
      <w:rFonts w:ascii="Times New Roman" w:eastAsiaTheme="minorEastAsia" w:hAnsi="Times New Roman" w:cs="Times New Roman"/>
      <w:sz w:val="24"/>
      <w:szCs w:val="20"/>
      <w:lang w:val="en-GB" w:eastAsia="uk-UA"/>
    </w:rPr>
  </w:style>
  <w:style w:type="character" w:customStyle="1" w:styleId="50">
    <w:name w:val="Заголовок 5 Знак"/>
    <w:basedOn w:val="a0"/>
    <w:link w:val="5"/>
    <w:semiHidden/>
    <w:rsid w:val="00F00713"/>
    <w:rPr>
      <w:rFonts w:ascii="Cambria" w:eastAsia="SimSun" w:hAnsi="Cambria" w:cs="Times New Roman"/>
      <w:color w:val="243F60"/>
      <w:sz w:val="20"/>
      <w:szCs w:val="20"/>
      <w:lang w:val="en-GB" w:eastAsia="uk-UA"/>
    </w:rPr>
  </w:style>
  <w:style w:type="paragraph" w:styleId="a3">
    <w:name w:val="footer"/>
    <w:basedOn w:val="a"/>
    <w:link w:val="a4"/>
    <w:uiPriority w:val="99"/>
    <w:unhideWhenUsed/>
    <w:rsid w:val="00F00713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00713"/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paragraph" w:styleId="a5">
    <w:name w:val="Body Text"/>
    <w:basedOn w:val="a"/>
    <w:link w:val="a6"/>
    <w:semiHidden/>
    <w:unhideWhenUsed/>
    <w:rsid w:val="00F00713"/>
    <w:pPr>
      <w:jc w:val="both"/>
    </w:pPr>
    <w:rPr>
      <w:rFonts w:ascii="Arial" w:hAnsi="Arial"/>
      <w:sz w:val="24"/>
    </w:rPr>
  </w:style>
  <w:style w:type="character" w:customStyle="1" w:styleId="a6">
    <w:name w:val="Основний текст Знак"/>
    <w:basedOn w:val="a0"/>
    <w:link w:val="a5"/>
    <w:semiHidden/>
    <w:rsid w:val="00F00713"/>
    <w:rPr>
      <w:rFonts w:ascii="Arial" w:eastAsia="Times New Roman" w:hAnsi="Arial" w:cs="Times New Roman"/>
      <w:sz w:val="24"/>
      <w:szCs w:val="20"/>
      <w:lang w:val="en-GB" w:eastAsia="uk-UA"/>
    </w:rPr>
  </w:style>
  <w:style w:type="paragraph" w:styleId="31">
    <w:name w:val="Body Text 3"/>
    <w:basedOn w:val="a"/>
    <w:link w:val="32"/>
    <w:semiHidden/>
    <w:unhideWhenUsed/>
    <w:rsid w:val="00F00713"/>
    <w:pPr>
      <w:widowControl/>
    </w:pPr>
    <w:rPr>
      <w:rFonts w:ascii="Arial" w:hAnsi="Arial"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F00713"/>
    <w:rPr>
      <w:rFonts w:ascii="Arial" w:eastAsia="Times New Roman" w:hAnsi="Arial" w:cs="Times New Roman"/>
      <w:sz w:val="24"/>
      <w:szCs w:val="20"/>
      <w:lang w:eastAsia="uk-UA"/>
    </w:rPr>
  </w:style>
  <w:style w:type="paragraph" w:styleId="a7">
    <w:name w:val="List Paragraph"/>
    <w:basedOn w:val="a"/>
    <w:qFormat/>
    <w:rsid w:val="00F00713"/>
    <w:pPr>
      <w:widowControl/>
      <w:ind w:left="720"/>
      <w:contextualSpacing/>
    </w:pPr>
    <w:rPr>
      <w:sz w:val="24"/>
      <w:szCs w:val="24"/>
      <w:lang w:val="uk-UA"/>
    </w:rPr>
  </w:style>
  <w:style w:type="paragraph" w:customStyle="1" w:styleId="BodyText31">
    <w:name w:val="Body Text 31"/>
    <w:basedOn w:val="a"/>
    <w:rsid w:val="00F00713"/>
    <w:pPr>
      <w:widowControl/>
      <w:tabs>
        <w:tab w:val="left" w:pos="426"/>
        <w:tab w:val="left" w:pos="2410"/>
      </w:tabs>
    </w:pPr>
    <w:rPr>
      <w:sz w:val="24"/>
      <w:lang w:val="de-DE" w:eastAsia="de-DE"/>
    </w:rPr>
  </w:style>
  <w:style w:type="character" w:styleId="a8">
    <w:name w:val="page number"/>
    <w:semiHidden/>
    <w:unhideWhenUsed/>
    <w:rsid w:val="00F00713"/>
    <w:rPr>
      <w:sz w:val="20"/>
    </w:rPr>
  </w:style>
  <w:style w:type="character" w:styleId="a9">
    <w:name w:val="Emphasis"/>
    <w:basedOn w:val="a0"/>
    <w:qFormat/>
    <w:rsid w:val="00F00713"/>
    <w:rPr>
      <w:i/>
      <w:iCs/>
    </w:rPr>
  </w:style>
  <w:style w:type="paragraph" w:styleId="aa">
    <w:name w:val="header"/>
    <w:basedOn w:val="a"/>
    <w:link w:val="ab"/>
    <w:uiPriority w:val="99"/>
    <w:unhideWhenUsed/>
    <w:rsid w:val="00F00713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00713"/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customStyle="1" w:styleId="10">
    <w:name w:val="Заголовок 1 Знак"/>
    <w:basedOn w:val="a0"/>
    <w:link w:val="1"/>
    <w:uiPriority w:val="9"/>
    <w:rsid w:val="00F007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uk-UA"/>
    </w:rPr>
  </w:style>
  <w:style w:type="paragraph" w:customStyle="1" w:styleId="11">
    <w:name w:val="Звичайний1"/>
    <w:rsid w:val="00FE66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143B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143B2"/>
    <w:rPr>
      <w:rFonts w:ascii="Segoe UI" w:eastAsia="Times New Roman" w:hAnsi="Segoe UI" w:cs="Segoe UI"/>
      <w:sz w:val="18"/>
      <w:szCs w:val="18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24515</Words>
  <Characters>13975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38414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Кисельова Богдана Валеріївна</dc:creator>
  <cp:keywords/>
  <dc:description/>
  <cp:lastModifiedBy>Грєвцова Катерина Петрівна</cp:lastModifiedBy>
  <cp:revision>29</cp:revision>
  <cp:lastPrinted>2020-05-05T05:54:00Z</cp:lastPrinted>
  <dcterms:created xsi:type="dcterms:W3CDTF">2018-11-22T12:45:00Z</dcterms:created>
  <dcterms:modified xsi:type="dcterms:W3CDTF">2021-03-10T11:08:00Z</dcterms:modified>
</cp:coreProperties>
</file>